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7F" w:rsidRDefault="009C3B7F" w:rsidP="009C3B7F">
      <w:pPr>
        <w:pStyle w:val="Nagwek1"/>
      </w:pPr>
      <w:r>
        <w:t>KARTA INFORMACYJNA</w:t>
      </w:r>
    </w:p>
    <w:p w:rsidR="009C3B7F" w:rsidRDefault="009C3B7F" w:rsidP="009C3B7F"/>
    <w:p w:rsidR="009C3B7F" w:rsidRPr="009C3B7F" w:rsidRDefault="009C3B7F" w:rsidP="009C3B7F">
      <w:pPr>
        <w:rPr>
          <w:rFonts w:cstheme="minorHAnsi"/>
          <w:b/>
          <w:sz w:val="28"/>
          <w:szCs w:val="28"/>
        </w:rPr>
      </w:pPr>
      <w:r w:rsidRPr="009C3B7F">
        <w:rPr>
          <w:rFonts w:cstheme="minorHAnsi"/>
          <w:b/>
          <w:sz w:val="28"/>
          <w:szCs w:val="28"/>
        </w:rPr>
        <w:t>ZGŁOSZENIE ROBÓT BUDOWLANYCH NIEWYMAGAJĄCYCH POZWOLENIA  NA BUDOWĘ</w:t>
      </w:r>
    </w:p>
    <w:p w:rsidR="006F764F" w:rsidRPr="006F764F" w:rsidRDefault="006F764F" w:rsidP="009C3B7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i/>
          <w:lang w:eastAsia="pl-PL"/>
        </w:rPr>
      </w:pPr>
      <w:r w:rsidRPr="006F764F">
        <w:rPr>
          <w:rFonts w:eastAsia="Times New Roman" w:cstheme="minorHAnsi"/>
          <w:b/>
          <w:lang w:eastAsia="pl-PL"/>
        </w:rPr>
        <w:t>WYMAGANE DOKUMENTY</w:t>
      </w:r>
      <w:r w:rsidRPr="006F764F">
        <w:rPr>
          <w:rFonts w:eastAsia="Times New Roman" w:cstheme="minorHAnsi"/>
          <w:b/>
          <w:i/>
          <w:lang w:eastAsia="pl-PL"/>
        </w:rPr>
        <w:t>:</w:t>
      </w:r>
    </w:p>
    <w:p w:rsidR="006F764F" w:rsidRDefault="006F764F" w:rsidP="009C3B7F">
      <w:pPr>
        <w:pStyle w:val="Akapitzlist"/>
        <w:numPr>
          <w:ilvl w:val="0"/>
          <w:numId w:val="5"/>
        </w:numPr>
        <w:tabs>
          <w:tab w:val="num" w:pos="3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 xml:space="preserve">Zgłoszenie robót budowlanych niewymagających pozwolenia na budowę – (IMA VI) – wniosek do pobrania w załącznikach sprawy. </w:t>
      </w:r>
    </w:p>
    <w:p w:rsidR="006F764F" w:rsidRPr="006F764F" w:rsidRDefault="006F764F" w:rsidP="009C3B7F">
      <w:pPr>
        <w:pStyle w:val="Akapitzlist"/>
        <w:numPr>
          <w:ilvl w:val="0"/>
          <w:numId w:val="5"/>
        </w:numPr>
        <w:tabs>
          <w:tab w:val="num" w:pos="3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>Załączniki:</w:t>
      </w:r>
    </w:p>
    <w:p w:rsidR="006F764F" w:rsidRPr="006F764F" w:rsidRDefault="006F764F" w:rsidP="009C3B7F">
      <w:pPr>
        <w:pStyle w:val="Akapitzlist"/>
        <w:numPr>
          <w:ilvl w:val="0"/>
          <w:numId w:val="6"/>
        </w:numPr>
        <w:spacing w:before="100" w:after="100" w:line="276" w:lineRule="auto"/>
        <w:ind w:left="1276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 xml:space="preserve">oświadczenie o posiadanym prawie do dysponowania nieruchomością na cele budowlane </w:t>
      </w:r>
      <w:r>
        <w:rPr>
          <w:rFonts w:eastAsia="Times New Roman" w:cstheme="minorHAnsi"/>
          <w:color w:val="000000" w:themeColor="text1"/>
          <w:lang w:eastAsia="pl-PL"/>
        </w:rPr>
        <w:t xml:space="preserve">(druk B-3) - </w:t>
      </w:r>
      <w:r w:rsidRPr="006F764F">
        <w:rPr>
          <w:rFonts w:eastAsia="Times New Roman" w:cstheme="minorHAnsi"/>
          <w:color w:val="000000"/>
          <w:lang w:eastAsia="pl-PL"/>
        </w:rPr>
        <w:t>oświadczenie do</w:t>
      </w:r>
      <w:r>
        <w:rPr>
          <w:rFonts w:eastAsia="Times New Roman" w:cstheme="minorHAnsi"/>
          <w:color w:val="000000"/>
          <w:lang w:eastAsia="pl-PL"/>
        </w:rPr>
        <w:t xml:space="preserve"> pobrania w załącznikach sprawy.</w:t>
      </w:r>
    </w:p>
    <w:p w:rsidR="006F764F" w:rsidRPr="006F764F" w:rsidRDefault="006F764F" w:rsidP="009C3B7F">
      <w:pPr>
        <w:spacing w:after="0" w:line="276" w:lineRule="auto"/>
        <w:ind w:left="1440" w:hanging="873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Każdy z inwestorów składa oddzielne oświadczenie.</w:t>
      </w:r>
    </w:p>
    <w:p w:rsidR="006F764F" w:rsidRPr="006F764F" w:rsidRDefault="006F764F" w:rsidP="009C3B7F">
      <w:pPr>
        <w:spacing w:after="0" w:line="276" w:lineRule="auto"/>
        <w:ind w:left="567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 xml:space="preserve">W zależności od potrzeb (jeśli informacje nie mieszczą się na druku B-3): </w:t>
      </w:r>
    </w:p>
    <w:p w:rsidR="006F764F" w:rsidRDefault="006F764F" w:rsidP="009C3B7F">
      <w:pPr>
        <w:spacing w:after="0" w:line="276" w:lineRule="auto"/>
        <w:ind w:left="567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 xml:space="preserve">informacja uzupełniająca do oświadczenia o posiadanym prawie do dysponowania nieruchomością na cele budowlane (druk B-4),  </w:t>
      </w:r>
    </w:p>
    <w:p w:rsidR="006F764F" w:rsidRPr="006F764F" w:rsidRDefault="006F764F" w:rsidP="009C3B7F">
      <w:pPr>
        <w:pStyle w:val="Akapitzlist"/>
        <w:numPr>
          <w:ilvl w:val="0"/>
          <w:numId w:val="6"/>
        </w:numPr>
        <w:spacing w:after="0" w:line="276" w:lineRule="auto"/>
        <w:ind w:left="1276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>w zależności od potrzeb : odpowiednie szkice lub rysunki, a także pozwolenia, uzgodnienia i opinie wymagane odrębnymi przepisami;</w:t>
      </w:r>
    </w:p>
    <w:p w:rsidR="006F764F" w:rsidRPr="006F764F" w:rsidRDefault="006F764F" w:rsidP="009C3B7F">
      <w:pPr>
        <w:pStyle w:val="Akapitzlist"/>
        <w:numPr>
          <w:ilvl w:val="0"/>
          <w:numId w:val="7"/>
        </w:numPr>
        <w:spacing w:before="100" w:after="100" w:line="276" w:lineRule="auto"/>
        <w:ind w:left="1701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projekt zagospodarowania działki lub terenu,  wykonany przez projektanta posiadającego odpowiednie uprawnienia budowlane – dotyczy zgłoszenia budowy art. 29 ust.1 pkt 27 i 28 PB), a w szczególności:</w:t>
      </w:r>
    </w:p>
    <w:p w:rsidR="006F764F" w:rsidRPr="006F764F" w:rsidRDefault="006F764F" w:rsidP="009C3B7F">
      <w:pPr>
        <w:pStyle w:val="Akapitzlist"/>
        <w:numPr>
          <w:ilvl w:val="0"/>
          <w:numId w:val="7"/>
        </w:numPr>
        <w:spacing w:before="100" w:after="100" w:line="276" w:lineRule="auto"/>
        <w:ind w:left="1701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podbudowy słupowej dla telekomunikacyjnych linii kablowych,</w:t>
      </w:r>
    </w:p>
    <w:p w:rsidR="006F764F" w:rsidRPr="006F764F" w:rsidRDefault="006F764F" w:rsidP="009C3B7F">
      <w:pPr>
        <w:pStyle w:val="Akapitzlist"/>
        <w:numPr>
          <w:ilvl w:val="0"/>
          <w:numId w:val="7"/>
        </w:numPr>
        <w:spacing w:before="100" w:after="100" w:line="276" w:lineRule="auto"/>
        <w:ind w:left="1701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obiektów małej architektury w miejscach publicznych.</w:t>
      </w:r>
    </w:p>
    <w:p w:rsidR="006F764F" w:rsidRPr="006F764F" w:rsidRDefault="006F764F" w:rsidP="009C3B7F">
      <w:pPr>
        <w:pStyle w:val="Akapitzlist"/>
        <w:numPr>
          <w:ilvl w:val="0"/>
          <w:numId w:val="8"/>
        </w:numPr>
        <w:spacing w:before="100" w:after="100" w:line="276" w:lineRule="auto"/>
        <w:ind w:left="1701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 xml:space="preserve">projekt zagospodarowania działki lub terenu wraz z opisem technicznym instalacji, wykonany przez projektanta posiadającego odpowiednie uprawnienia budowlane wraz z uprawnieniami projektanta i zaświadczeniem o wpisie do właściwej izby samorządu zawodowego, </w:t>
      </w:r>
    </w:p>
    <w:p w:rsidR="006F764F" w:rsidRPr="006F764F" w:rsidRDefault="006F764F" w:rsidP="009C3B7F">
      <w:pPr>
        <w:pStyle w:val="Akapitzlist"/>
        <w:numPr>
          <w:ilvl w:val="0"/>
          <w:numId w:val="9"/>
        </w:numPr>
        <w:spacing w:before="100" w:after="100" w:line="276" w:lineRule="auto"/>
        <w:rPr>
          <w:rFonts w:eastAsia="Times New Roman" w:cstheme="minorHAnsi"/>
          <w:color w:val="FF0000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dotyczy zgłoszenia budowy (art. 29 ust.1 pkt 9, 23, 30 PB, a w szczególności:</w:t>
      </w:r>
    </w:p>
    <w:p w:rsidR="006F764F" w:rsidRPr="006F764F" w:rsidRDefault="006F764F" w:rsidP="009C3B7F">
      <w:pPr>
        <w:pStyle w:val="Akapitzlist"/>
        <w:numPr>
          <w:ilvl w:val="0"/>
          <w:numId w:val="11"/>
        </w:numPr>
        <w:spacing w:before="100" w:after="100" w:line="276" w:lineRule="auto"/>
        <w:ind w:left="1701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instalacji zbiornikowych na gaz płynny z pojedynczym zbiornikiem o pojemności do 7 m</w:t>
      </w:r>
      <w:r w:rsidRPr="006F764F">
        <w:rPr>
          <w:rFonts w:eastAsia="Times New Roman" w:cstheme="minorHAnsi"/>
          <w:color w:val="000000" w:themeColor="text1"/>
          <w:shd w:val="clear" w:color="auto" w:fill="FFFFFF"/>
          <w:vertAlign w:val="superscript"/>
          <w:lang w:eastAsia="pl-PL"/>
        </w:rPr>
        <w:t>3</w:t>
      </w: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 przeznaczonych do zasilania instalacji gazowych w budynkach mieszkalnych jednorodzinnych;</w:t>
      </w:r>
    </w:p>
    <w:p w:rsidR="006F764F" w:rsidRPr="006F764F" w:rsidRDefault="006F764F" w:rsidP="009C3B7F">
      <w:pPr>
        <w:pStyle w:val="Akapitzlist"/>
        <w:numPr>
          <w:ilvl w:val="0"/>
          <w:numId w:val="11"/>
        </w:numPr>
        <w:spacing w:after="0" w:line="276" w:lineRule="auto"/>
        <w:ind w:left="1701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przyłączy: </w:t>
      </w:r>
      <w:r w:rsidRPr="006F764F">
        <w:rPr>
          <w:rFonts w:eastAsia="Times New Roman" w:cstheme="minorHAnsi"/>
          <w:color w:val="000000" w:themeColor="text1"/>
          <w:lang w:eastAsia="pl-PL"/>
        </w:rPr>
        <w:t xml:space="preserve">elektroenergetycznych, wodociągowych, kanalizacyjnych, gazowych, cieplnych, telekomunikacyjnych (z zastrzeżeniem art. 29a), </w:t>
      </w:r>
    </w:p>
    <w:p w:rsidR="006F764F" w:rsidRPr="006F764F" w:rsidRDefault="006F764F" w:rsidP="009C3B7F">
      <w:pPr>
        <w:pStyle w:val="Akapitzlist"/>
        <w:numPr>
          <w:ilvl w:val="0"/>
          <w:numId w:val="11"/>
        </w:numPr>
        <w:spacing w:before="100" w:after="100" w:line="276" w:lineRule="auto"/>
        <w:ind w:left="1701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stacji regazyfikacji LNG o pojemności zbiornika magazynowania gazu do 10 m</w:t>
      </w:r>
      <w:r w:rsidRPr="006F764F">
        <w:rPr>
          <w:rFonts w:eastAsia="Times New Roman" w:cstheme="minorHAnsi"/>
          <w:color w:val="000000" w:themeColor="text1"/>
          <w:shd w:val="clear" w:color="auto" w:fill="FFFFFF"/>
          <w:vertAlign w:val="superscript"/>
          <w:lang w:eastAsia="pl-PL"/>
        </w:rPr>
        <w:t>3</w:t>
      </w: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</w:p>
    <w:p w:rsidR="006F764F" w:rsidRPr="006F764F" w:rsidRDefault="006F764F" w:rsidP="009C3B7F">
      <w:pPr>
        <w:pStyle w:val="Akapitzlist"/>
        <w:numPr>
          <w:ilvl w:val="0"/>
          <w:numId w:val="9"/>
        </w:numPr>
        <w:spacing w:before="100" w:after="100" w:line="276" w:lineRule="auto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dotyczy zgłoszenia wykonania robót budowlanych (art. 29 ust. 3 pkt 3 lit. e) PB) tj.:</w:t>
      </w:r>
    </w:p>
    <w:p w:rsidR="006F764F" w:rsidRPr="006F764F" w:rsidRDefault="006F764F" w:rsidP="009C3B7F">
      <w:pPr>
        <w:pStyle w:val="Akapitzlist"/>
        <w:numPr>
          <w:ilvl w:val="0"/>
          <w:numId w:val="12"/>
        </w:numPr>
        <w:spacing w:before="100" w:after="100" w:line="276" w:lineRule="auto"/>
        <w:ind w:left="1701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instalowania mikroinstalacji biogazu rolniczego.</w:t>
      </w:r>
    </w:p>
    <w:p w:rsidR="006F764F" w:rsidRPr="006F764F" w:rsidRDefault="006F764F" w:rsidP="009C3B7F">
      <w:pPr>
        <w:spacing w:before="100" w:after="100" w:line="276" w:lineRule="auto"/>
        <w:ind w:left="851" w:hanging="284"/>
        <w:rPr>
          <w:rFonts w:eastAsia="Times New Roman" w:cstheme="minorHAnsi"/>
          <w:b/>
          <w:color w:val="000000" w:themeColor="text1"/>
          <w:lang w:eastAsia="pl-PL"/>
        </w:rPr>
      </w:pPr>
      <w:r w:rsidRPr="006F764F">
        <w:rPr>
          <w:rFonts w:eastAsia="Times New Roman" w:cstheme="minorHAnsi"/>
          <w:b/>
          <w:color w:val="000000" w:themeColor="text1"/>
          <w:lang w:eastAsia="pl-PL"/>
        </w:rPr>
        <w:t>UWAGA:</w:t>
      </w:r>
    </w:p>
    <w:p w:rsidR="006F764F" w:rsidRPr="006F764F" w:rsidRDefault="006F764F" w:rsidP="009C3B7F">
      <w:pPr>
        <w:spacing w:before="100" w:after="100" w:line="276" w:lineRule="auto"/>
        <w:ind w:left="567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W przypadku budowy instalacji gazowej, o której mowa w art. 29 ust.1 pkt 9 i 30, oraz instalowania o którym mowa w art. 29 ust. 3 pkt 3 lit. e), stosuje się ponadto obowiązek zawiadomienia organów Państwowej Straży Pożarnej, o którym mowa w art. 56 ust.1a (o zakończeniu budowy obiektu budowlanego i zamiarze przystąpienia do jego użytkowania).</w:t>
      </w:r>
    </w:p>
    <w:p w:rsidR="006F764F" w:rsidRPr="006F764F" w:rsidRDefault="006F764F" w:rsidP="009C3B7F">
      <w:pPr>
        <w:autoSpaceDE w:val="0"/>
        <w:autoSpaceDN w:val="0"/>
        <w:adjustRightInd w:val="0"/>
        <w:spacing w:after="0" w:line="276" w:lineRule="auto"/>
        <w:ind w:left="709" w:hanging="142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>UWAGA!</w:t>
      </w:r>
    </w:p>
    <w:p w:rsidR="006F764F" w:rsidRPr="006F764F" w:rsidRDefault="006F764F" w:rsidP="009C3B7F">
      <w:pPr>
        <w:autoSpaceDE w:val="0"/>
        <w:autoSpaceDN w:val="0"/>
        <w:adjustRightInd w:val="0"/>
        <w:spacing w:after="0" w:line="276" w:lineRule="auto"/>
        <w:ind w:left="709" w:hanging="142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Do zgłoszenia budowy: o których mowa </w:t>
      </w:r>
      <w:r w:rsidRPr="006F764F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 xml:space="preserve">w art. 29 ust. 1-3, </w:t>
      </w: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tj.  </w:t>
      </w:r>
    </w:p>
    <w:p w:rsidR="006F764F" w:rsidRPr="006F764F" w:rsidRDefault="006F764F" w:rsidP="009C3B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lastRenderedPageBreak/>
        <w:t xml:space="preserve">wolno stojących budynków mieszkalnych jednorodzinnych, których obszar oddziaływania mieści się w całości na działce lub działkach, na których zostały zaprojektowane, </w:t>
      </w:r>
    </w:p>
    <w:p w:rsidR="006F764F" w:rsidRPr="006F764F" w:rsidRDefault="006F764F" w:rsidP="009C3B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wolno stojących parterowych budynków stacji transformatorowych i kontenerowych stacji transformatorowych o powierzchni zabudowy do 35 m2 , </w:t>
      </w:r>
    </w:p>
    <w:p w:rsidR="006F764F" w:rsidRPr="006F764F" w:rsidRDefault="006F764F" w:rsidP="009C3B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>sieci: elektroenergetycznych obejmujących napięcie znamionowe nie wyższe niż 1 kV, wodociągowych, kanalizacyjnych, cieplnych,  telekomunikacyjnych,</w:t>
      </w:r>
    </w:p>
    <w:p w:rsidR="006F764F" w:rsidRPr="006F764F" w:rsidRDefault="006F764F" w:rsidP="009C3B7F">
      <w:pPr>
        <w:spacing w:after="0" w:line="276" w:lineRule="auto"/>
        <w:ind w:left="709" w:hanging="142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>należy dodatkowo dołączyć:</w:t>
      </w:r>
    </w:p>
    <w:p w:rsidR="006F764F" w:rsidRPr="006F764F" w:rsidRDefault="006F764F" w:rsidP="009C3B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trzy egzemplarze projektu zagospodarowania działki lub terenu oraz projektu  architektoniczno – budowlanego  wraz z opiniami, uzgodnieniami, pozwoleniami i innymi dokumentami, których obowiązek</w:t>
      </w: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dołączenia wynika z przepisów odrębnych ustaw, lub kopiami tych opinii, uzgodnień, pozwoleń i innych dokumentów;</w:t>
      </w:r>
    </w:p>
    <w:p w:rsidR="006F764F" w:rsidRPr="006F764F" w:rsidRDefault="006F764F" w:rsidP="009C3B7F">
      <w:pPr>
        <w:pStyle w:val="Akapitzlist"/>
        <w:numPr>
          <w:ilvl w:val="0"/>
          <w:numId w:val="14"/>
        </w:num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 xml:space="preserve">oświadczenie o posiadanym prawie do dysponowania nieruchomością na cele budowlane; </w:t>
      </w:r>
    </w:p>
    <w:p w:rsidR="006F764F" w:rsidRPr="006F764F" w:rsidRDefault="006F764F" w:rsidP="009C3B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decyzję o warunkach zabudowy i zagospodarowania terenu, jeżeli jest ona wymagana zgodnie z przepisami o planowaniu i zagospodarowaniu przestrzennym (oryginał z klauzulą ostateczności).</w:t>
      </w:r>
    </w:p>
    <w:p w:rsidR="006F764F" w:rsidRPr="006F764F" w:rsidRDefault="006F764F" w:rsidP="009C3B7F">
      <w:pPr>
        <w:autoSpaceDE w:val="0"/>
        <w:autoSpaceDN w:val="0"/>
        <w:adjustRightInd w:val="0"/>
        <w:spacing w:after="0" w:line="276" w:lineRule="auto"/>
        <w:ind w:left="567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Cs/>
          <w:color w:val="000000"/>
          <w:lang w:eastAsia="pl-PL"/>
        </w:rPr>
        <w:t xml:space="preserve">W przypadku zgłoszenia budowy, o której mowa </w:t>
      </w:r>
      <w:r w:rsidRPr="006F764F">
        <w:rPr>
          <w:rFonts w:eastAsia="Times New Roman" w:cstheme="minorHAnsi"/>
          <w:bCs/>
          <w:iCs/>
          <w:color w:val="000000" w:themeColor="text1"/>
          <w:lang w:eastAsia="pl-PL"/>
        </w:rPr>
        <w:t>w art. 29 ust. 1 pkt 1 – 3</w:t>
      </w:r>
      <w:r w:rsidRPr="006F764F">
        <w:rPr>
          <w:rFonts w:eastAsia="Times New Roman" w:cstheme="minorHAnsi"/>
          <w:b/>
          <w:bCs/>
          <w:iCs/>
          <w:color w:val="000000" w:themeColor="text1"/>
          <w:lang w:eastAsia="pl-PL"/>
        </w:rPr>
        <w:t xml:space="preserve">   </w:t>
      </w:r>
      <w:r w:rsidRPr="006F764F">
        <w:rPr>
          <w:rFonts w:eastAsia="Times New Roman" w:cstheme="minorHAnsi"/>
          <w:b/>
          <w:bCs/>
          <w:iCs/>
          <w:color w:val="000000"/>
          <w:lang w:eastAsia="pl-PL"/>
        </w:rPr>
        <w:t xml:space="preserve">właściwy organ zamieszcza w Biuletynie Informacji Publicznej na stronie podmiotowej obsługującego go urzędu w terminie 3 dni od dnia: </w:t>
      </w:r>
    </w:p>
    <w:p w:rsidR="006F764F" w:rsidRPr="006F764F" w:rsidRDefault="006F764F" w:rsidP="009C3B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doręczenia zgłoszenia - informację o dokonaniu zgłoszenia, zawierającą imię i nazwisko albo nazwę inwestora oraz adres i opis projektowanego obiektu; </w:t>
      </w:r>
    </w:p>
    <w:p w:rsidR="006F764F" w:rsidRPr="006F764F" w:rsidRDefault="006F764F" w:rsidP="009C3B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wniesienia sprzeciwu - informację o dacie jego wniesienia; </w:t>
      </w:r>
    </w:p>
    <w:p w:rsidR="006F764F" w:rsidRPr="006F764F" w:rsidRDefault="006F764F" w:rsidP="009C3B7F">
      <w:pPr>
        <w:pStyle w:val="Akapitzlist"/>
        <w:numPr>
          <w:ilvl w:val="0"/>
          <w:numId w:val="16"/>
        </w:numPr>
        <w:spacing w:after="0" w:line="276" w:lineRule="auto"/>
        <w:rPr>
          <w:rFonts w:eastAsia="Times New Roman" w:cstheme="minorHAnsi"/>
          <w:b/>
          <w:bCs/>
          <w:i/>
          <w:iCs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lang w:eastAsia="pl-PL"/>
        </w:rPr>
        <w:t>upływu terminu, o którym mowa w art. 30 ust. 5 PB - informację o braku wniesienia</w:t>
      </w:r>
    </w:p>
    <w:p w:rsidR="006F764F" w:rsidRPr="006F764F" w:rsidRDefault="006F764F" w:rsidP="009C3B7F">
      <w:pPr>
        <w:pStyle w:val="Akapitzlist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lang w:eastAsia="pl-PL"/>
        </w:rPr>
        <w:t>sprzeciwu.</w:t>
      </w:r>
    </w:p>
    <w:p w:rsidR="006F764F" w:rsidRPr="006F764F" w:rsidRDefault="006F764F" w:rsidP="009C3B7F">
      <w:pPr>
        <w:numPr>
          <w:ilvl w:val="1"/>
          <w:numId w:val="2"/>
        </w:numPr>
        <w:spacing w:before="100" w:after="10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 xml:space="preserve">w zgłoszeniu budowy dotyczącym instalacji zbiornikowych na gaz płynny z pojedynczym zbiornikiem o pojemności do 7 m3, przeznaczonych do zasilania instalacji gazowych w budynkach mieszkalnych jednorodzinnych oraz przyłączy: elektroenergetycznych, wodociągowych, kanalizacyjnych, gazowych, cieplnych i </w:t>
      </w:r>
      <w:bookmarkStart w:id="0" w:name="_GoBack"/>
      <w:bookmarkEnd w:id="0"/>
      <w:r w:rsidRPr="006F764F">
        <w:rPr>
          <w:rFonts w:eastAsia="Times New Roman" w:cstheme="minorHAnsi"/>
          <w:color w:val="000000"/>
          <w:lang w:eastAsia="pl-PL"/>
        </w:rPr>
        <w:t xml:space="preserve">telekomunikacyjnych do budynków , należy ponadto przedstawić projekt zagospodarowania działki lub terenu, uzgodniony </w:t>
      </w:r>
      <w:r w:rsidRPr="006F764F">
        <w:rPr>
          <w:rFonts w:eastAsia="Times New Roman" w:cstheme="minorHAnsi"/>
          <w:color w:val="000000"/>
          <w:lang w:eastAsia="pl-PL"/>
        </w:rPr>
        <w:br/>
        <w:t xml:space="preserve">z rzeczoznawcą do spraw zabezpieczeń przeciwpożarowych (tylko w przypadku instalacji zbiornikowych na gaz płynny), wraz z opisem technicznym instalacji wykonanym przez projektanta posiadającego wymagane uprawnienia budowlane. </w:t>
      </w:r>
    </w:p>
    <w:p w:rsidR="006F764F" w:rsidRPr="006F764F" w:rsidRDefault="006F764F" w:rsidP="009C3B7F">
      <w:pPr>
        <w:numPr>
          <w:ilvl w:val="1"/>
          <w:numId w:val="2"/>
        </w:numPr>
        <w:spacing w:before="100" w:after="10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>w zgłoszeniu budowy obiektów małej architektury w miejscach publicznych należy ponadto przedstawić projekt zagospodarowania działki lub terenu, wykonany przez projektanta posiadającego wymagane uprawnienia budowlane.</w:t>
      </w:r>
    </w:p>
    <w:p w:rsidR="006F764F" w:rsidRPr="006F764F" w:rsidRDefault="006F764F" w:rsidP="009C3B7F">
      <w:pPr>
        <w:numPr>
          <w:ilvl w:val="1"/>
          <w:numId w:val="2"/>
        </w:numPr>
        <w:spacing w:before="100" w:after="10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 xml:space="preserve">upoważnienie (pełnomocnictwo)udzielone osobie działającej w imieniu inwestora (jeżeli zostało udzielone) wraz z opłatą skarbową </w:t>
      </w:r>
    </w:p>
    <w:p w:rsidR="006F764F" w:rsidRDefault="006F764F" w:rsidP="009C3B7F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1416" w:hanging="284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 xml:space="preserve">decyzja o środowiskowych uwarunkowaniach, jeżeli jest ona wymagana zgodnie z art.72 ust.1 pkt 1 ustawy z dnia 3 października 2008 r. o udostępnianiu informacji o środowisku i jego ochronie, udziale społeczeństwa w ochronie środowiska oraz o  ocenach oddziaływania </w:t>
      </w:r>
      <w:r w:rsidRPr="006F764F">
        <w:rPr>
          <w:rFonts w:eastAsia="Times New Roman" w:cstheme="minorHAnsi"/>
          <w:color w:val="000000"/>
          <w:lang w:eastAsia="pl-PL"/>
        </w:rPr>
        <w:br/>
      </w:r>
      <w:r w:rsidRPr="006F764F">
        <w:rPr>
          <w:rFonts w:eastAsia="Times New Roman" w:cstheme="minorHAnsi"/>
          <w:color w:val="000000"/>
          <w:lang w:eastAsia="pl-PL"/>
        </w:rPr>
        <w:lastRenderedPageBreak/>
        <w:t>na środowisko - Dokument wydawany przez Biuro Planowania Rozwoju Miasta Urzędu Miasta Piotrkowa Trybunalskiego, ul. Szkolna 28, tel. 44 732 18 39, 732 18 41.</w:t>
      </w:r>
    </w:p>
    <w:p w:rsidR="006F764F" w:rsidRPr="006F764F" w:rsidRDefault="006F764F" w:rsidP="009C3B7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:rsidR="006F764F" w:rsidRPr="006F764F" w:rsidRDefault="006F764F" w:rsidP="009C3B7F">
      <w:pPr>
        <w:autoSpaceDE w:val="0"/>
        <w:autoSpaceDN w:val="0"/>
        <w:adjustRightInd w:val="0"/>
        <w:spacing w:after="0" w:line="276" w:lineRule="auto"/>
        <w:ind w:left="567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 xml:space="preserve">Do zgłoszenia </w:t>
      </w: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>przebudowy o których mowa w art. 29 ust. 3 pkt 1 lit a, czyli</w:t>
      </w:r>
    </w:p>
    <w:p w:rsidR="006F764F" w:rsidRPr="006F764F" w:rsidRDefault="006F764F" w:rsidP="009C3B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przegród zewnętrznych oraz elementów konstrukcyjnych budynków mieszkalnych jednorodzinnych, o ile nie prowadzi ona do zwiększenia obszaru oddziaływania obiektu poza działkę, na której budynek jest usytuowany,</w:t>
      </w:r>
    </w:p>
    <w:p w:rsidR="006F764F" w:rsidRPr="006F764F" w:rsidRDefault="006F764F" w:rsidP="009C3B7F">
      <w:pPr>
        <w:autoSpaceDE w:val="0"/>
        <w:autoSpaceDN w:val="0"/>
        <w:adjustRightInd w:val="0"/>
        <w:spacing w:after="0" w:line="276" w:lineRule="auto"/>
        <w:ind w:left="567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>oraz instalowania, o którym mowa w art. 29 ust.3 pkt 3 lit. d, czyli</w:t>
      </w:r>
    </w:p>
    <w:p w:rsidR="006F764F" w:rsidRPr="006F764F" w:rsidRDefault="006F764F" w:rsidP="009C3B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wewnątrz i na zewnątrz użytkowanego budynku instalacji gazowych,</w:t>
      </w:r>
    </w:p>
    <w:p w:rsidR="006F764F" w:rsidRPr="006F764F" w:rsidRDefault="006F764F" w:rsidP="009C3B7F">
      <w:pPr>
        <w:autoSpaceDE w:val="0"/>
        <w:autoSpaceDN w:val="0"/>
        <w:adjustRightInd w:val="0"/>
        <w:spacing w:after="0" w:line="276" w:lineRule="auto"/>
        <w:ind w:left="567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color w:val="000000"/>
          <w:lang w:eastAsia="pl-PL"/>
        </w:rPr>
        <w:t>należy dołączyć:</w:t>
      </w:r>
    </w:p>
    <w:p w:rsidR="006F764F" w:rsidRPr="006F764F" w:rsidRDefault="006F764F" w:rsidP="009C3B7F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76" w:lineRule="auto"/>
        <w:ind w:left="1276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trzy egzemplarze projektu zagospodarowania działki lub terenu oraz projektu  architektoniczno – budowlanego  wraz z opiniami, uzgodnieniami, pozwoleniami i innymi dokumentami, których obowiązek</w:t>
      </w:r>
      <w:r w:rsidRPr="006F76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dołączenia wynika z przepisów odrębnych ustaw, lub kopiami tych opinii, uzgodnień, pozwoleń i innych dokumentów;</w:t>
      </w:r>
    </w:p>
    <w:p w:rsidR="006F764F" w:rsidRPr="006F764F" w:rsidRDefault="006F764F" w:rsidP="009C3B7F">
      <w:pPr>
        <w:pStyle w:val="Akapitzlist"/>
        <w:numPr>
          <w:ilvl w:val="3"/>
          <w:numId w:val="19"/>
        </w:numPr>
        <w:spacing w:after="0" w:line="276" w:lineRule="auto"/>
        <w:ind w:left="1276"/>
        <w:rPr>
          <w:rFonts w:eastAsia="Times New Roman" w:cstheme="minorHAnsi"/>
          <w:color w:val="000000" w:themeColor="text1"/>
          <w:lang w:eastAsia="pl-PL"/>
        </w:rPr>
      </w:pPr>
      <w:r w:rsidRPr="006F764F">
        <w:rPr>
          <w:rFonts w:eastAsia="Times New Roman" w:cstheme="minorHAnsi"/>
          <w:color w:val="000000" w:themeColor="text1"/>
          <w:lang w:eastAsia="pl-PL"/>
        </w:rPr>
        <w:t>oświadczenie o posiadanym prawie do dysponowania nieruchomością na cele budowlane (oświadczenie do pobrania w załącznikach sprawy)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:rsidR="006F764F" w:rsidRPr="006F764F" w:rsidRDefault="006F764F" w:rsidP="009C3B7F">
      <w:pPr>
        <w:spacing w:before="100" w:beforeAutospacing="1" w:after="100" w:afterAutospacing="1" w:line="276" w:lineRule="auto"/>
        <w:ind w:left="567"/>
        <w:rPr>
          <w:rFonts w:eastAsia="Times New Roman" w:cstheme="minorHAnsi"/>
          <w:i/>
          <w:iCs/>
          <w:color w:val="000000"/>
          <w:lang w:eastAsia="pl-PL"/>
        </w:rPr>
      </w:pPr>
      <w:r w:rsidRPr="006F764F">
        <w:rPr>
          <w:rFonts w:eastAsia="Times New Roman" w:cstheme="minorHAnsi"/>
          <w:i/>
          <w:iCs/>
          <w:color w:val="000000"/>
          <w:lang w:eastAsia="pl-PL"/>
        </w:rPr>
        <w:t xml:space="preserve">Zgłoszenia należy dokonać przed zamierzonym terminem rozpoczęcia robót budowlanych. </w:t>
      </w:r>
      <w:r w:rsidRPr="006F764F">
        <w:rPr>
          <w:rFonts w:eastAsia="Times New Roman" w:cstheme="minorHAnsi"/>
          <w:i/>
          <w:iCs/>
          <w:color w:val="000000"/>
          <w:lang w:eastAsia="pl-PL"/>
        </w:rPr>
        <w:br/>
        <w:t xml:space="preserve">Do wykonania robót budowlanych można przystąpić, jeżeli </w:t>
      </w:r>
      <w:r w:rsidRPr="006F764F">
        <w:rPr>
          <w:rFonts w:eastAsia="Times New Roman" w:cstheme="minorHAnsi"/>
          <w:b/>
          <w:i/>
          <w:iCs/>
          <w:color w:val="000000"/>
          <w:lang w:eastAsia="pl-PL"/>
        </w:rPr>
        <w:t>w terminie 21 dni od dnia doręczenia kompletnego zgłoszenia</w:t>
      </w:r>
      <w:r w:rsidRPr="006F764F">
        <w:rPr>
          <w:rFonts w:eastAsia="Times New Roman" w:cstheme="minorHAnsi"/>
          <w:i/>
          <w:iCs/>
          <w:color w:val="000000"/>
          <w:lang w:eastAsia="pl-PL"/>
        </w:rPr>
        <w:t xml:space="preserve"> właściwy organ nie wniesie sprzeciwu w drodze decyzji i nie później niż przed upływem 3 lat od określonego w zgłoszeniu terminu ich rozpoczęcia.</w:t>
      </w:r>
    </w:p>
    <w:p w:rsidR="006F764F" w:rsidRPr="006F764F" w:rsidRDefault="006F764F" w:rsidP="009C3B7F">
      <w:pPr>
        <w:spacing w:before="100" w:beforeAutospacing="1" w:after="100" w:afterAutospacing="1" w:line="276" w:lineRule="auto"/>
        <w:ind w:left="567"/>
        <w:rPr>
          <w:rFonts w:eastAsia="Times New Roman" w:cstheme="minorHAnsi"/>
          <w:b/>
          <w:bCs/>
          <w:i/>
          <w:iCs/>
          <w:lang w:eastAsia="pl-PL"/>
        </w:rPr>
      </w:pPr>
      <w:r w:rsidRPr="006F764F">
        <w:rPr>
          <w:rFonts w:eastAsia="Times New Roman" w:cstheme="minorHAnsi"/>
          <w:b/>
          <w:bCs/>
          <w:i/>
          <w:iCs/>
          <w:lang w:eastAsia="pl-PL"/>
        </w:rPr>
        <w:t>Za dzień wniesienia sprzeciwu uznaje się dzień nadania decyzji w placówce pocztowej operatora wyznaczonego w rozumieniu art. 3 pkt 13 ustawy z dnia 23 listopada 2012 r. - Prawo pocztowe (Dz. U. z 2018 r. poz. 2188 z późn. zm.) – Poczta Polska albo w przypadku, o którym mowa w art. 39</w:t>
      </w:r>
      <w:r w:rsidRPr="006F764F">
        <w:rPr>
          <w:rFonts w:eastAsia="Times New Roman" w:cstheme="minorHAnsi"/>
          <w:b/>
          <w:bCs/>
          <w:i/>
          <w:iCs/>
          <w:vertAlign w:val="superscript"/>
          <w:lang w:eastAsia="pl-PL"/>
        </w:rPr>
        <w:t>1</w:t>
      </w:r>
      <w:r w:rsidRPr="006F764F">
        <w:rPr>
          <w:rFonts w:eastAsia="Times New Roman" w:cstheme="minorHAnsi"/>
          <w:b/>
          <w:bCs/>
          <w:i/>
          <w:iCs/>
          <w:lang w:eastAsia="pl-PL"/>
        </w:rPr>
        <w:t xml:space="preserve"> Kodeksu postępowania administracyjnego, dzień wprowadzenia do systemu teleinformatycznego.</w:t>
      </w:r>
    </w:p>
    <w:p w:rsidR="00397D38" w:rsidRPr="006F764F" w:rsidRDefault="006F764F" w:rsidP="009C3B7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>OPŁATY:</w:t>
      </w:r>
    </w:p>
    <w:p w:rsidR="00397D38" w:rsidRDefault="00397D38" w:rsidP="009C3B7F">
      <w:pPr>
        <w:pStyle w:val="Akapitzlist"/>
        <w:numPr>
          <w:ilvl w:val="0"/>
          <w:numId w:val="20"/>
        </w:numPr>
        <w:tabs>
          <w:tab w:val="num" w:pos="3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b/>
          <w:color w:val="000000"/>
          <w:lang w:eastAsia="pl-PL"/>
        </w:rPr>
        <w:t>Opłata skarbowa</w:t>
      </w:r>
      <w:r w:rsidRPr="00397D38">
        <w:rPr>
          <w:rFonts w:eastAsia="Times New Roman" w:cstheme="minorHAnsi"/>
          <w:color w:val="000000"/>
          <w:lang w:eastAsia="pl-PL"/>
        </w:rPr>
        <w:t xml:space="preserve">: </w:t>
      </w:r>
    </w:p>
    <w:p w:rsidR="00397D38" w:rsidRPr="006F764F" w:rsidRDefault="00397D38" w:rsidP="009C3B7F">
      <w:pPr>
        <w:numPr>
          <w:ilvl w:val="1"/>
          <w:numId w:val="21"/>
        </w:num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>od pełnomocnictwa  -  17 zł (w przypadku jego ustanowienia)</w:t>
      </w:r>
    </w:p>
    <w:p w:rsidR="00397D38" w:rsidRPr="006F764F" w:rsidRDefault="00397D38" w:rsidP="009C3B7F">
      <w:pPr>
        <w:numPr>
          <w:ilvl w:val="1"/>
          <w:numId w:val="21"/>
        </w:num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>od przyjęcia zgłoszenia (od którego właściwy organ nie wniósł sprzeciwu), tj.</w:t>
      </w:r>
    </w:p>
    <w:p w:rsidR="00397D38" w:rsidRPr="006F764F" w:rsidRDefault="00397D38" w:rsidP="009C3B7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:rsidR="00397D38" w:rsidRPr="00397D38" w:rsidRDefault="00397D38" w:rsidP="009C3B7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bCs/>
          <w:iCs/>
          <w:color w:val="000000"/>
          <w:lang w:eastAsia="pl-PL"/>
        </w:rPr>
        <w:t>wolno stojących budynków mieszkalnych jednorodzinnych, których obszar oddziaływania mieści się w całości na działce lub działkach, na których zostały zaprojektowane</w:t>
      </w:r>
    </w:p>
    <w:p w:rsidR="00397D38" w:rsidRPr="00397D38" w:rsidRDefault="00397D38" w:rsidP="009C3B7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701"/>
        <w:rPr>
          <w:rFonts w:eastAsia="Times New Roman" w:cstheme="minorHAnsi"/>
          <w:lang w:eastAsia="pl-PL"/>
        </w:rPr>
      </w:pPr>
      <w:r w:rsidRPr="00397D38">
        <w:rPr>
          <w:rFonts w:eastAsia="Times New Roman" w:cstheme="minorHAnsi"/>
          <w:lang w:eastAsia="pl-PL"/>
        </w:rPr>
        <w:t xml:space="preserve">1 zł za każdy m2  </w:t>
      </w:r>
      <w:r w:rsidRPr="00397D38">
        <w:rPr>
          <w:rFonts w:eastAsia="Times New Roman" w:cstheme="minorHAnsi"/>
          <w:b/>
          <w:lang w:eastAsia="pl-PL"/>
        </w:rPr>
        <w:t>niemieszkalnej powierzchni użytkowej</w:t>
      </w:r>
      <w:r w:rsidRPr="00397D38">
        <w:rPr>
          <w:rFonts w:eastAsia="Times New Roman" w:cstheme="minorHAnsi"/>
          <w:lang w:eastAsia="pl-PL"/>
        </w:rPr>
        <w:t xml:space="preserve"> lecz nie więcej niż 539 zł</w:t>
      </w:r>
    </w:p>
    <w:p w:rsidR="00397D38" w:rsidRPr="00397D38" w:rsidRDefault="00397D38" w:rsidP="009C3B7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/>
        <w:rPr>
          <w:rFonts w:eastAsia="Times New Roman" w:cstheme="minorHAnsi"/>
          <w:lang w:eastAsia="pl-PL"/>
        </w:rPr>
      </w:pPr>
      <w:r w:rsidRPr="00397D38">
        <w:rPr>
          <w:rFonts w:eastAsia="Times New Roman" w:cstheme="minorHAnsi"/>
          <w:lang w:eastAsia="pl-PL"/>
        </w:rPr>
        <w:t>sieci:</w:t>
      </w:r>
    </w:p>
    <w:p w:rsidR="00397D38" w:rsidRPr="00397D38" w:rsidRDefault="00397D38" w:rsidP="009C3B7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560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bCs/>
          <w:iCs/>
          <w:color w:val="000000"/>
          <w:lang w:eastAsia="pl-PL"/>
        </w:rPr>
        <w:t xml:space="preserve">elektroenergetycznych obejmujących napięcie znamionowe nie wyższe niż 1 kV, </w:t>
      </w:r>
    </w:p>
    <w:p w:rsidR="00397D38" w:rsidRPr="00397D38" w:rsidRDefault="00397D38" w:rsidP="009C3B7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560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bCs/>
          <w:iCs/>
          <w:color w:val="000000"/>
          <w:lang w:eastAsia="pl-PL"/>
        </w:rPr>
        <w:t xml:space="preserve">wodociągowych, </w:t>
      </w:r>
    </w:p>
    <w:p w:rsidR="00397D38" w:rsidRPr="00397D38" w:rsidRDefault="00397D38" w:rsidP="009C3B7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560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bCs/>
          <w:iCs/>
          <w:color w:val="000000"/>
          <w:lang w:eastAsia="pl-PL"/>
        </w:rPr>
        <w:t xml:space="preserve">kanalizacyjnych, </w:t>
      </w:r>
    </w:p>
    <w:p w:rsidR="00397D38" w:rsidRPr="00397D38" w:rsidRDefault="00397D38" w:rsidP="009C3B7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560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bCs/>
          <w:iCs/>
          <w:color w:val="000000"/>
          <w:lang w:eastAsia="pl-PL"/>
        </w:rPr>
        <w:t xml:space="preserve">cieplnych, </w:t>
      </w:r>
    </w:p>
    <w:p w:rsidR="00397D38" w:rsidRPr="00397D38" w:rsidRDefault="00397D38" w:rsidP="009C3B7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560"/>
        <w:rPr>
          <w:rFonts w:eastAsia="Times New Roman" w:cstheme="minorHAnsi"/>
          <w:bCs/>
          <w:iCs/>
          <w:color w:val="000000"/>
          <w:lang w:eastAsia="pl-PL"/>
        </w:rPr>
      </w:pPr>
      <w:r>
        <w:rPr>
          <w:rFonts w:eastAsia="Times New Roman" w:cstheme="minorHAnsi"/>
          <w:bCs/>
          <w:iCs/>
          <w:color w:val="000000"/>
          <w:lang w:eastAsia="pl-PL"/>
        </w:rPr>
        <w:t>telekomunikacyjnych:</w:t>
      </w:r>
    </w:p>
    <w:p w:rsidR="00397D38" w:rsidRPr="00397D38" w:rsidRDefault="00397D38" w:rsidP="009C3B7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 długości powyżej 1 kilometra </w:t>
      </w:r>
      <w:r w:rsidRPr="00397D38">
        <w:rPr>
          <w:rFonts w:eastAsia="Times New Roman" w:cstheme="minorHAnsi"/>
          <w:color w:val="000000"/>
          <w:lang w:eastAsia="pl-PL"/>
        </w:rPr>
        <w:t>-  2143 zł</w:t>
      </w:r>
    </w:p>
    <w:p w:rsidR="00397D38" w:rsidRPr="00397D38" w:rsidRDefault="00397D38" w:rsidP="009C3B7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 xml:space="preserve">o długości do 1 kilometra  </w:t>
      </w:r>
      <w:r w:rsidR="0013594E">
        <w:rPr>
          <w:rFonts w:eastAsia="Times New Roman" w:cstheme="minorHAnsi"/>
          <w:color w:val="000000"/>
          <w:lang w:eastAsia="pl-PL"/>
        </w:rPr>
        <w:t xml:space="preserve">- </w:t>
      </w:r>
      <w:r w:rsidRPr="00397D38">
        <w:rPr>
          <w:rFonts w:eastAsia="Times New Roman" w:cstheme="minorHAnsi"/>
          <w:color w:val="000000"/>
          <w:lang w:eastAsia="pl-PL"/>
        </w:rPr>
        <w:t>105 zł</w:t>
      </w:r>
    </w:p>
    <w:p w:rsidR="00397D38" w:rsidRPr="006F764F" w:rsidRDefault="00397D38" w:rsidP="009C3B7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:rsidR="00397D38" w:rsidRPr="0013594E" w:rsidRDefault="00397D38" w:rsidP="009C3B7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/>
        <w:rPr>
          <w:rFonts w:eastAsia="Times New Roman" w:cstheme="minorHAnsi"/>
          <w:lang w:eastAsia="pl-PL"/>
        </w:rPr>
      </w:pPr>
      <w:r w:rsidRPr="0013594E">
        <w:rPr>
          <w:rFonts w:eastAsia="Times New Roman" w:cstheme="minorHAnsi"/>
          <w:bCs/>
          <w:iCs/>
          <w:lang w:eastAsia="pl-PL"/>
        </w:rPr>
        <w:t xml:space="preserve">przebudowy budynków mieszkalnych jednorodzinnych, o ile nie prowadzi do zwiększenia dotychczasowego obszaru oddziaływania tych budynków;   -   </w:t>
      </w:r>
      <w:r w:rsidRPr="0013594E">
        <w:rPr>
          <w:rFonts w:eastAsia="Times New Roman" w:cstheme="minorHAnsi"/>
          <w:lang w:eastAsia="pl-PL"/>
        </w:rPr>
        <w:t>50% stawki określonej w pkt. a</w:t>
      </w:r>
    </w:p>
    <w:p w:rsidR="00397D38" w:rsidRPr="006F764F" w:rsidRDefault="00397D38" w:rsidP="009C3B7F">
      <w:pPr>
        <w:tabs>
          <w:tab w:val="num" w:pos="360"/>
        </w:tabs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 xml:space="preserve">Opłatę należy wnieść z chwilą złożenia zgłoszenia.  </w:t>
      </w:r>
    </w:p>
    <w:p w:rsidR="00397D38" w:rsidRPr="00397D38" w:rsidRDefault="00397D38" w:rsidP="009C3B7F">
      <w:pPr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b/>
          <w:lang w:eastAsia="pl-PL"/>
        </w:rPr>
      </w:pPr>
      <w:r w:rsidRPr="006F764F">
        <w:rPr>
          <w:rFonts w:eastAsia="Times New Roman" w:cstheme="minorHAnsi"/>
          <w:b/>
          <w:lang w:eastAsia="pl-PL"/>
        </w:rPr>
        <w:t>Uwaga! Zwalnia się z opłaty skarbowej przyjęcie zgłoszenia dotyczącego budynku zniszczonego lub uszkodzonego wskutek działalności spowodowanej ruchem zakładu górniczego lub klęsk żywiołowych.</w:t>
      </w:r>
    </w:p>
    <w:p w:rsidR="00397D38" w:rsidRPr="00397D38" w:rsidRDefault="00397D38" w:rsidP="009C3B7F">
      <w:pPr>
        <w:pStyle w:val="Akapitzlist"/>
        <w:numPr>
          <w:ilvl w:val="0"/>
          <w:numId w:val="20"/>
        </w:numPr>
        <w:tabs>
          <w:tab w:val="num" w:pos="3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>Opłaty dokonuje się gotówką w Kasach Urzędu przy ul. Pasaż Rudows</w:t>
      </w:r>
      <w:r>
        <w:rPr>
          <w:rFonts w:eastAsia="Times New Roman" w:cstheme="minorHAnsi"/>
          <w:color w:val="000000"/>
          <w:lang w:eastAsia="pl-PL"/>
        </w:rPr>
        <w:t xml:space="preserve">kiego 10 lub ul. Szkolna 30/38 </w:t>
      </w:r>
      <w:r w:rsidRPr="00397D38">
        <w:rPr>
          <w:rFonts w:eastAsia="Times New Roman" w:cstheme="minorHAnsi"/>
          <w:color w:val="000000"/>
          <w:lang w:eastAsia="pl-PL"/>
        </w:rPr>
        <w:t>lub  bezgotówkowo przelewem  na rachunek bankowy Urz</w:t>
      </w:r>
      <w:r>
        <w:rPr>
          <w:rFonts w:eastAsia="Times New Roman" w:cstheme="minorHAnsi"/>
          <w:color w:val="000000"/>
          <w:lang w:eastAsia="pl-PL"/>
        </w:rPr>
        <w:t xml:space="preserve">ędu Miasta GETIN NOBLE BANK SA </w:t>
      </w:r>
      <w:r w:rsidRPr="00397D38">
        <w:rPr>
          <w:rFonts w:eastAsia="Times New Roman" w:cstheme="minorHAnsi"/>
          <w:b/>
          <w:color w:val="000000"/>
          <w:lang w:eastAsia="pl-PL"/>
        </w:rPr>
        <w:t>nr rachunku</w:t>
      </w:r>
      <w:r w:rsidRPr="00397D38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Pr="00397D38">
        <w:rPr>
          <w:rFonts w:eastAsia="Times New Roman" w:cstheme="minorHAnsi"/>
          <w:b/>
          <w:bCs/>
          <w:color w:val="000000"/>
          <w:lang w:eastAsia="pl-PL"/>
        </w:rPr>
        <w:t>55 1560 0013 232</w:t>
      </w:r>
      <w:r w:rsidR="0013594E">
        <w:rPr>
          <w:rFonts w:eastAsia="Times New Roman" w:cstheme="minorHAnsi"/>
          <w:b/>
          <w:bCs/>
          <w:color w:val="000000"/>
          <w:lang w:eastAsia="pl-PL"/>
        </w:rPr>
        <w:t>2 6887 8000 0003</w:t>
      </w:r>
    </w:p>
    <w:p w:rsidR="00397D38" w:rsidRPr="006F764F" w:rsidRDefault="00397D38" w:rsidP="009C3B7F">
      <w:pPr>
        <w:tabs>
          <w:tab w:val="num" w:pos="360"/>
        </w:tabs>
        <w:spacing w:after="0" w:line="276" w:lineRule="auto"/>
        <w:ind w:left="720" w:hanging="720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ab/>
      </w:r>
      <w:r w:rsidRPr="006F764F">
        <w:rPr>
          <w:rFonts w:eastAsia="Times New Roman" w:cstheme="minorHAnsi"/>
          <w:color w:val="000000"/>
          <w:lang w:eastAsia="pl-PL"/>
        </w:rPr>
        <w:tab/>
      </w:r>
      <w:r w:rsidRPr="006F764F">
        <w:rPr>
          <w:rFonts w:eastAsia="Times New Roman" w:cstheme="minorHAnsi"/>
          <w:b/>
          <w:color w:val="000000"/>
          <w:lang w:eastAsia="pl-PL"/>
        </w:rPr>
        <w:t>W przypadku opłaty przekazem lub przelewem należy podać tytuł z jakiego jest ona wnoszona.</w:t>
      </w:r>
    </w:p>
    <w:p w:rsidR="00397D38" w:rsidRDefault="00397D38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6F764F" w:rsidRDefault="006F764F" w:rsidP="009C3B7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 xml:space="preserve"> MIEJSCE ZŁOŻENIA WNIOSKU: </w:t>
      </w:r>
    </w:p>
    <w:p w:rsidR="00397D38" w:rsidRPr="00397D38" w:rsidRDefault="00397D38" w:rsidP="009C3B7F">
      <w:pPr>
        <w:pStyle w:val="Akapitzlist"/>
        <w:tabs>
          <w:tab w:val="num" w:pos="3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>Wniosek należy złożyć w Biurze Obsługi Mieszkańców Urzędu Miasta Piotrkowa Trybunalskiego ul. Szkolna 28  lub przesłać na adres Urzędu:</w:t>
      </w:r>
    </w:p>
    <w:p w:rsidR="00397D38" w:rsidRPr="00397D38" w:rsidRDefault="00397D38" w:rsidP="009C3B7F">
      <w:pPr>
        <w:pStyle w:val="Akapitzlist"/>
        <w:tabs>
          <w:tab w:val="num" w:pos="3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:rsidR="00397D38" w:rsidRPr="00397D38" w:rsidRDefault="00397D38" w:rsidP="009C3B7F">
      <w:pPr>
        <w:pStyle w:val="Akapitzlist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>Urząd Miasta Piotrkowa Trybunalskiego</w:t>
      </w:r>
    </w:p>
    <w:p w:rsidR="00397D38" w:rsidRPr="00397D38" w:rsidRDefault="00397D38" w:rsidP="009C3B7F">
      <w:pPr>
        <w:pStyle w:val="Akapitzlist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 xml:space="preserve">ul. Szkolna 28 </w:t>
      </w:r>
    </w:p>
    <w:p w:rsidR="00397D38" w:rsidRPr="00397D38" w:rsidRDefault="00397D38" w:rsidP="009C3B7F">
      <w:pPr>
        <w:pStyle w:val="Akapitzlist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>97-300 Piotrków Trybunalski</w:t>
      </w:r>
    </w:p>
    <w:p w:rsidR="00397D38" w:rsidRDefault="00397D38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6F764F" w:rsidRDefault="006F764F" w:rsidP="009C3B7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 xml:space="preserve">TERMIN ZAŁATWIENIA SPRAWY:  </w:t>
      </w:r>
    </w:p>
    <w:p w:rsidR="00397D38" w:rsidRPr="00397D38" w:rsidRDefault="00397D38" w:rsidP="009C3B7F">
      <w:pPr>
        <w:pStyle w:val="Akapitzlist"/>
        <w:tabs>
          <w:tab w:val="num" w:pos="3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>21 dni od daty złożenia kompletnego wniosku zgłoszenia.</w:t>
      </w:r>
    </w:p>
    <w:p w:rsidR="00397D38" w:rsidRPr="0013594E" w:rsidRDefault="00397D38" w:rsidP="009C3B7F">
      <w:pPr>
        <w:pStyle w:val="Akapitzlist"/>
        <w:tabs>
          <w:tab w:val="num" w:pos="360"/>
        </w:tabs>
        <w:spacing w:after="0" w:line="276" w:lineRule="auto"/>
        <w:rPr>
          <w:rFonts w:eastAsia="Times New Roman" w:cstheme="minorHAnsi"/>
          <w:lang w:eastAsia="pl-PL"/>
        </w:rPr>
      </w:pPr>
      <w:r w:rsidRPr="00397D38">
        <w:rPr>
          <w:rFonts w:eastAsia="Times New Roman" w:cstheme="minorHAnsi"/>
          <w:lang w:eastAsia="pl-PL"/>
        </w:rPr>
        <w:t>Do terminu tego nie wlicza się terminów przewidzianych w przepisach prawa dla dokonania</w:t>
      </w:r>
      <w:r w:rsidR="0013594E">
        <w:rPr>
          <w:rFonts w:eastAsia="Times New Roman" w:cstheme="minorHAnsi"/>
          <w:lang w:eastAsia="pl-PL"/>
        </w:rPr>
        <w:t xml:space="preserve">   </w:t>
      </w:r>
      <w:r w:rsidRPr="00397D38">
        <w:rPr>
          <w:rFonts w:eastAsia="Times New Roman" w:cstheme="minorHAnsi"/>
          <w:lang w:eastAsia="pl-PL"/>
        </w:rPr>
        <w:t>określonych czynności, okresów zawieszenia postępowania okresów trwania mediacji oraz okresów opóźnień spowodowanych z winy strony albo z przyczyn niezależ</w:t>
      </w:r>
      <w:r w:rsidR="0013594E">
        <w:rPr>
          <w:rFonts w:eastAsia="Times New Roman" w:cstheme="minorHAnsi"/>
          <w:lang w:eastAsia="pl-PL"/>
        </w:rPr>
        <w:t>nych od organu (art.35 § 5 KPA).</w:t>
      </w:r>
    </w:p>
    <w:p w:rsidR="00397D38" w:rsidRDefault="00397D38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397D38" w:rsidRDefault="00397D38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6F764F" w:rsidRDefault="006F764F" w:rsidP="009C3B7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>TRYB ODWOŁAWCZY:</w:t>
      </w:r>
    </w:p>
    <w:p w:rsidR="00397D38" w:rsidRDefault="00397D38" w:rsidP="009C3B7F">
      <w:pPr>
        <w:pStyle w:val="Akapitzlist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 xml:space="preserve">Odwołanie od ewentualnej decyzji wnoszącej sprzeciw do zgłoszenia wnosi się do Wojewody Łódzkiego za pośrednictwem organu, który wydał decyzję wnoszącą sprzeciw. Odwołanie wnosi się w terminie 14 dni od </w:t>
      </w:r>
      <w:r w:rsidR="0013594E">
        <w:rPr>
          <w:rFonts w:eastAsia="Times New Roman" w:cstheme="minorHAnsi"/>
          <w:color w:val="000000"/>
          <w:lang w:eastAsia="pl-PL"/>
        </w:rPr>
        <w:t>dnia doręczenia decyzji stronie.</w:t>
      </w:r>
    </w:p>
    <w:p w:rsidR="0013594E" w:rsidRPr="0013594E" w:rsidRDefault="0013594E" w:rsidP="009C3B7F">
      <w:pPr>
        <w:pStyle w:val="Akapitzlist"/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6F764F" w:rsidRPr="006F764F" w:rsidRDefault="006F764F" w:rsidP="009C3B7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 xml:space="preserve"> UWAGI: </w:t>
      </w:r>
    </w:p>
    <w:p w:rsid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 xml:space="preserve">Właściwy organ może nałożyć, w drodze decyzji, </w:t>
      </w:r>
      <w:r w:rsidRPr="006F764F">
        <w:rPr>
          <w:rFonts w:eastAsia="Times New Roman" w:cstheme="minorHAnsi"/>
          <w:b/>
          <w:color w:val="000000"/>
          <w:lang w:eastAsia="pl-PL"/>
        </w:rPr>
        <w:t>obowiązek uzyskania pozwolenia na wykonywanie określonego obiektu lub robót budowlanych</w:t>
      </w:r>
      <w:r w:rsidRPr="006F764F">
        <w:rPr>
          <w:rFonts w:eastAsia="Times New Roman" w:cstheme="minorHAnsi"/>
          <w:color w:val="000000"/>
          <w:lang w:eastAsia="pl-PL"/>
        </w:rPr>
        <w:t>, objętych obowiązkiem zgłoszenia, jeśli ich realizacja może naruszyć ustalenia miejscowego planu zagospodarowania przestrzennego lub spowodować:</w:t>
      </w:r>
    </w:p>
    <w:p w:rsidR="00397D38" w:rsidRDefault="006F764F" w:rsidP="009C3B7F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 xml:space="preserve">zagrożenie bezpieczeństwa ludzi lub mienia, </w:t>
      </w:r>
    </w:p>
    <w:p w:rsidR="00397D38" w:rsidRDefault="006F764F" w:rsidP="009C3B7F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 xml:space="preserve">pogorszenie stanu środowiska lub stanu zachowania zabytków, </w:t>
      </w:r>
    </w:p>
    <w:p w:rsidR="00397D38" w:rsidRDefault="006F764F" w:rsidP="009C3B7F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t xml:space="preserve">pogorszenie warunków zdrowotno – sanitarnych, </w:t>
      </w:r>
    </w:p>
    <w:p w:rsidR="006F764F" w:rsidRPr="00397D38" w:rsidRDefault="006F764F" w:rsidP="009C3B7F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000000"/>
          <w:lang w:eastAsia="pl-PL"/>
        </w:rPr>
        <w:lastRenderedPageBreak/>
        <w:t>wprowadzenie, utrwalenie bądź zwiększenie ograniczeń lub uciążliwości dla terenów sąsiednich,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 xml:space="preserve">Zgłoszenia właściwemu organowi wymaga: </w:t>
      </w:r>
    </w:p>
    <w:p w:rsidR="006F764F" w:rsidRDefault="006F764F" w:rsidP="009C3B7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>Budowa:</w:t>
      </w:r>
    </w:p>
    <w:p w:rsidR="006F764F" w:rsidRPr="00397D38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333333"/>
          <w:lang w:eastAsia="pl-PL"/>
        </w:rPr>
        <w:t>wolno stojących budynków mieszkalnych jednorodzinnych, których obszar oddziaływania mieści się w całości na działce lub działkach, na których zostały zaprojektowane;</w:t>
      </w:r>
    </w:p>
    <w:p w:rsidR="006809FA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397D38">
        <w:rPr>
          <w:rFonts w:eastAsia="Times New Roman" w:cstheme="minorHAnsi"/>
          <w:color w:val="333333"/>
          <w:lang w:eastAsia="pl-PL"/>
        </w:rPr>
        <w:t xml:space="preserve">sieci: </w:t>
      </w:r>
    </w:p>
    <w:p w:rsidR="006809FA" w:rsidRPr="006809FA" w:rsidRDefault="006809FA" w:rsidP="009C3B7F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elektroenergetycznych obejmujących napięcie znamionowe nie wyższe niż 1 kV.</w:t>
      </w:r>
    </w:p>
    <w:p w:rsidR="006809FA" w:rsidRPr="006809FA" w:rsidRDefault="006809FA" w:rsidP="009C3B7F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wodociągowych,</w:t>
      </w:r>
    </w:p>
    <w:p w:rsidR="006809FA" w:rsidRPr="006809FA" w:rsidRDefault="006809FA" w:rsidP="009C3B7F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kanalizacyjnych,</w:t>
      </w:r>
    </w:p>
    <w:p w:rsidR="006809FA" w:rsidRPr="006809FA" w:rsidRDefault="006809FA" w:rsidP="009C3B7F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cieplnych,</w:t>
      </w:r>
    </w:p>
    <w:p w:rsidR="006809FA" w:rsidRPr="006809FA" w:rsidRDefault="006809FA" w:rsidP="009C3B7F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gazowych o ciśnieniu r</w:t>
      </w:r>
      <w:r>
        <w:rPr>
          <w:rFonts w:eastAsia="Times New Roman" w:cstheme="minorHAnsi"/>
          <w:color w:val="333333"/>
          <w:lang w:eastAsia="pl-PL"/>
        </w:rPr>
        <w:t>oboczym nie wyższym niż 0,5 MPa.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wolno stojących parterowych budynków stacji transformatorowych i kontenerowych stacji transformatorowych o powierzchni zabudowy do 35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>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obiektów budowlanych, niewymienionych w pkt 2, 3 i 5-30 oraz w ust. 2, usytuowanych na terenach zamkniętych, ustalonych decyzją Ministra Obrony Narodowej lub ministra właściwego do spraw wewnętrznych, z wyłączeniem budynków mieszkalnych, zamieszkania zbiorowego oraz użyteczności publicznej;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oczyszczalni ścieków o wydajności do 7,50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3</w:t>
      </w:r>
      <w:r w:rsidRPr="006809FA">
        <w:rPr>
          <w:rFonts w:eastAsia="Times New Roman" w:cstheme="minorHAnsi"/>
          <w:color w:val="333333"/>
          <w:lang w:eastAsia="pl-PL"/>
        </w:rPr>
        <w:t xml:space="preserve"> na dobę;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zbiorników bezodpływowych na nieczystości ciekłe o pojemności do 10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3</w:t>
      </w:r>
      <w:r w:rsidRPr="006809FA">
        <w:rPr>
          <w:rFonts w:eastAsia="Times New Roman" w:cstheme="minorHAnsi"/>
          <w:color w:val="333333"/>
          <w:lang w:eastAsia="pl-PL"/>
        </w:rPr>
        <w:t>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tymczasowych obiektów budowlanych niepołączonych trwale z gruntem i przewidzianych do rozbiórki lub przeniesienia w inne miejsce - w terminie określonym w zgłoszeniu, ale nie później niż przed upływem 180 dni od dnia rozpoczęcia budowy określonego w zgłoszeniu;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pomostów o długości całkowitej do 25 m i wysokości, liczonej od korony pomostu do dna akwenu, do 2,50 m;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instalacji zbiornikowych na gaz płynny z pojedynczym zbiornikiem o pojemności do 7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3</w:t>
      </w:r>
      <w:r w:rsidRPr="006809FA">
        <w:rPr>
          <w:rFonts w:eastAsia="Times New Roman" w:cstheme="minorHAnsi"/>
          <w:color w:val="333333"/>
          <w:lang w:eastAsia="pl-PL"/>
        </w:rPr>
        <w:t>, przeznaczonych do zasilania instalacji gazowych w budynkach mieszkalnych jednorodzinnych;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kanalizacji kablowej;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zjazdów z dróg krajowych i wojewódzkich oraz zatok parkingowych na tych drogach;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 xml:space="preserve">obiektów budowlanych służących bezpośrednio do wykonywania działalności regulowanej </w:t>
      </w:r>
      <w:r w:rsidR="006809FA" w:rsidRPr="006809FA">
        <w:rPr>
          <w:rFonts w:eastAsia="Times New Roman" w:cstheme="minorHAnsi"/>
          <w:color w:val="000000" w:themeColor="text1"/>
          <w:lang w:eastAsia="pl-PL"/>
        </w:rPr>
        <w:t xml:space="preserve">ustawa </w:t>
      </w:r>
      <w:r w:rsidRPr="006809FA">
        <w:rPr>
          <w:rFonts w:eastAsia="Times New Roman" w:cstheme="minorHAnsi"/>
          <w:color w:val="333333"/>
          <w:lang w:eastAsia="pl-PL"/>
        </w:rPr>
        <w:t>z dnia 9 czerwca 2011 r. - Prawo geologiczne i górnicze (Dz. U. z 2019 r. poz. 868, 1214 i 1495 oraz z 2020 r. poz. 284) w zakresie poszukiwania i rozpoznawania złóż węglowodorów;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obiektów budowlanych piętrzących wodę i upustowych o wysokości piętrzenia poniżej 1 m poza śródlądowymi drogami wodnymi oraz poza obszarem parków narodowych, rezerwatów przyrody i parków krajobrazowych oraz ich otulin;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wolno stojących:</w:t>
      </w:r>
    </w:p>
    <w:p w:rsidR="006809FA" w:rsidRPr="006809FA" w:rsidRDefault="006809FA" w:rsidP="009C3B7F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parterowych budynków gospodarczych,</w:t>
      </w:r>
    </w:p>
    <w:p w:rsidR="006809FA" w:rsidRPr="006809FA" w:rsidRDefault="006809FA" w:rsidP="009C3B7F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garaży,</w:t>
      </w:r>
    </w:p>
    <w:p w:rsidR="006809FA" w:rsidRPr="006809FA" w:rsidRDefault="006809FA" w:rsidP="009C3B7F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lastRenderedPageBreak/>
        <w:t>wiat - o powierzchni zabudowy do 35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>, przy czym łączna liczba tych obiektów na działce nie może  przekraczać dwóch na każde 500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 xml:space="preserve"> powierzchni działki;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przydomowych:</w:t>
      </w:r>
    </w:p>
    <w:p w:rsidR="006809FA" w:rsidRPr="006809FA" w:rsidRDefault="006809FA" w:rsidP="009C3B7F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ganków,</w:t>
      </w:r>
    </w:p>
    <w:p w:rsidR="006809FA" w:rsidRPr="006809FA" w:rsidRDefault="006809FA" w:rsidP="009C3B7F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oranżerii (ogrodów zimowych)</w:t>
      </w:r>
    </w:p>
    <w:p w:rsidR="006809FA" w:rsidRPr="006809FA" w:rsidRDefault="006809FA" w:rsidP="009C3B7F">
      <w:pPr>
        <w:pStyle w:val="Akapitzlist"/>
        <w:numPr>
          <w:ilvl w:val="0"/>
          <w:numId w:val="36"/>
        </w:numPr>
        <w:shd w:val="clear" w:color="auto" w:fill="FFFFFF"/>
        <w:spacing w:before="120" w:after="150" w:line="276" w:lineRule="auto"/>
        <w:ind w:left="1701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powierzchni zabudowy do 35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>, przy czym łączna liczba tych obiektów na działce nie może przekraczać dwóch na każde 500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 xml:space="preserve"> powierzchni działki;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wolno stojących parterowych budynków rekreacji indywidualnej rozumianych jako budynki przeznaczone do okresowego wypoczynku, o powierzchni zabudowy do 35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>, przy czym liczba tych obiektów na działce nie może przekraczać jednego na każde 500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 xml:space="preserve"> powierzchni działki;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parterowych budynków o powierzchni zabudowy do 35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>, służących jako zaplecze do bieżącego utrzymania linii kolejowych, położonych na terenach stanowiących własność Skarbu Państwa, sytuowanych na obszarze Natura 2000;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gospodarczych obiektów budowlanych o powierzchni zabudowy do 35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>, przy rozpiętości konstrukcji nie większej niż 4,80 m, oraz stawów i zbiorników wodnych o powierzchni nieprzekraczającej 500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 xml:space="preserve"> i głębokości nieprzekraczającej 2 m od naturalnej powierzchni terenu, przeznaczonych wyłącznie na cele gospodarki leśnej i położonych na gruntach leśnych Skarbu Państwa, sytuowanych na obszarze Natura 2000;</w:t>
      </w:r>
    </w:p>
    <w:p w:rsidR="006F764F" w:rsidRPr="006809FA" w:rsidRDefault="006809FA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s</w:t>
      </w:r>
      <w:r w:rsidR="006F764F" w:rsidRPr="006809FA">
        <w:rPr>
          <w:rFonts w:eastAsia="Times New Roman" w:cstheme="minorHAnsi"/>
          <w:color w:val="333333"/>
          <w:lang w:eastAsia="pl-PL"/>
        </w:rPr>
        <w:t>tanowisk postojowych dla samochodów osobowych do 10 stanowisk włącznie, sytuowanych na obszarze Natura 2000;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boisk szkolnych oraz boisk, kortów tenisowych, bieżni służących do rekreacji;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ogrodzeń o wysokości powyżej 2,20 m;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przydomowych tarasów naziemnych o powierzchni zabudowy powyżej 35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2</w:t>
      </w:r>
      <w:r w:rsidRPr="006809FA">
        <w:rPr>
          <w:rFonts w:eastAsia="Times New Roman" w:cstheme="minorHAnsi"/>
          <w:color w:val="333333"/>
          <w:lang w:eastAsia="pl-PL"/>
        </w:rPr>
        <w:t>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przyłączy:</w:t>
      </w:r>
    </w:p>
    <w:p w:rsidR="006809FA" w:rsidRPr="006809FA" w:rsidRDefault="006809FA" w:rsidP="009C3B7F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elektroenergetycznych,</w:t>
      </w:r>
    </w:p>
    <w:p w:rsidR="006809FA" w:rsidRPr="006809FA" w:rsidRDefault="006809FA" w:rsidP="009C3B7F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wodociągowych,</w:t>
      </w:r>
    </w:p>
    <w:p w:rsidR="006809FA" w:rsidRPr="006809FA" w:rsidRDefault="006809FA" w:rsidP="009C3B7F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kanalizacyjnych,</w:t>
      </w:r>
    </w:p>
    <w:p w:rsidR="006809FA" w:rsidRPr="006809FA" w:rsidRDefault="006809FA" w:rsidP="009C3B7F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gazowych,</w:t>
      </w:r>
    </w:p>
    <w:p w:rsidR="006809FA" w:rsidRPr="006809FA" w:rsidRDefault="006809FA" w:rsidP="009C3B7F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cieplnych,</w:t>
      </w:r>
    </w:p>
    <w:p w:rsidR="006809FA" w:rsidRPr="006809FA" w:rsidRDefault="006809FA" w:rsidP="009C3B7F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telekomunikacyjnych</w:t>
      </w:r>
    </w:p>
    <w:p w:rsidR="006809FA" w:rsidRPr="006809FA" w:rsidRDefault="006809FA" w:rsidP="009C3B7F">
      <w:pPr>
        <w:pStyle w:val="Akapitzlist"/>
        <w:numPr>
          <w:ilvl w:val="0"/>
          <w:numId w:val="38"/>
        </w:numPr>
        <w:shd w:val="clear" w:color="auto" w:fill="FFFFFF"/>
        <w:spacing w:before="120" w:after="15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z zastrzeżeniem art. 29a;</w:t>
      </w:r>
    </w:p>
    <w:p w:rsidR="006F764F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 xml:space="preserve">kanałów technologicznych, w </w:t>
      </w:r>
      <w:r w:rsidRPr="006809FA">
        <w:rPr>
          <w:rFonts w:eastAsia="Times New Roman" w:cstheme="minorHAnsi"/>
          <w:color w:val="000000"/>
          <w:lang w:eastAsia="pl-PL"/>
        </w:rPr>
        <w:t xml:space="preserve">rozumieniu </w:t>
      </w:r>
      <w:hyperlink r:id="rId7" w:anchor="/document/16791834?unitId=art(4)pkt(15(a))&amp;cm=DOCUMENT" w:history="1">
        <w:r w:rsidRPr="006809FA">
          <w:rPr>
            <w:rFonts w:eastAsia="Times New Roman" w:cstheme="minorHAnsi"/>
            <w:color w:val="000000"/>
            <w:lang w:eastAsia="pl-PL"/>
          </w:rPr>
          <w:t>art. 4 pkt 15a</w:t>
        </w:r>
      </w:hyperlink>
      <w:r w:rsidRPr="006809FA">
        <w:rPr>
          <w:rFonts w:eastAsia="Times New Roman" w:cstheme="minorHAnsi"/>
          <w:color w:val="000000"/>
          <w:lang w:eastAsia="pl-PL"/>
        </w:rPr>
        <w:t xml:space="preserve"> ustawy z dnia 21 marca 1985 r. o drogach publicznych (Dz. U. z 2020 r. poz. 470 i 471), w pasie drogowym w ramach przebudowy drogi;</w:t>
      </w:r>
    </w:p>
    <w:p w:rsidR="006F764F" w:rsidRPr="006809FA" w:rsidRDefault="006809FA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000000"/>
          <w:lang w:eastAsia="pl-PL"/>
        </w:rPr>
        <w:t>s</w:t>
      </w:r>
      <w:r w:rsidR="006F764F" w:rsidRPr="006809FA">
        <w:rPr>
          <w:rFonts w:eastAsia="Times New Roman" w:cstheme="minorHAnsi"/>
          <w:color w:val="000000"/>
          <w:lang w:eastAsia="pl-PL"/>
        </w:rPr>
        <w:t xml:space="preserve">tacji ładowania, w rozumieniu </w:t>
      </w:r>
      <w:hyperlink r:id="rId8" w:anchor="/document/18683445?unitId=art(2)pkt(27)&amp;cm=DOCUMENT" w:history="1">
        <w:r w:rsidR="006F764F" w:rsidRPr="006809FA">
          <w:rPr>
            <w:rFonts w:eastAsia="Times New Roman" w:cstheme="minorHAnsi"/>
            <w:color w:val="000000"/>
            <w:lang w:eastAsia="pl-PL"/>
          </w:rPr>
          <w:t>art. 2 pkt 27</w:t>
        </w:r>
      </w:hyperlink>
      <w:r w:rsidR="006F764F" w:rsidRPr="006809FA">
        <w:rPr>
          <w:rFonts w:eastAsia="Times New Roman" w:cstheme="minorHAnsi"/>
          <w:color w:val="000000"/>
          <w:lang w:eastAsia="pl-PL"/>
        </w:rPr>
        <w:t xml:space="preserve"> ustawy z dnia 11 stycznia 2018 r. o elektromobilności i paliwach alternatywnych (Dz. U. z 2019 r. poz. 1124, 1495, 1527 i 1716 oraz z 2020 r. poz. 284), z wyłączeniem infrastruktury ładowania drogowego transportu publicznego w rozumieniu </w:t>
      </w:r>
      <w:hyperlink r:id="rId9" w:anchor="/document/18683445?unitId=art(2)pkt(3)&amp;cm=DOCUMENT" w:history="1">
        <w:r w:rsidR="006F764F" w:rsidRPr="006809FA">
          <w:rPr>
            <w:rFonts w:eastAsia="Times New Roman" w:cstheme="minorHAnsi"/>
            <w:color w:val="000000"/>
            <w:lang w:eastAsia="pl-PL"/>
          </w:rPr>
          <w:t>art. 2 pkt 3</w:t>
        </w:r>
      </w:hyperlink>
      <w:r w:rsidR="006F764F" w:rsidRPr="006809FA">
        <w:rPr>
          <w:rFonts w:eastAsia="Times New Roman" w:cstheme="minorHAnsi"/>
          <w:color w:val="333333"/>
          <w:lang w:eastAsia="pl-PL"/>
        </w:rPr>
        <w:t xml:space="preserve"> tej ustawy;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niecek dezynfekcyjnych, w tym niecek dezynfekcyjnych z zadaszeniem;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podbudowy słupowej dla telekomunikacyjnych linii kablowych;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obiektów małej architektury w miejscach publicznych;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obiektów gospodarczych związanych z produkcją rolną i uzupełniających zabudowę zagrodową w ramach istniejącej działki siedliskowej:</w:t>
      </w:r>
    </w:p>
    <w:p w:rsidR="006809FA" w:rsidRPr="006809FA" w:rsidRDefault="006809FA" w:rsidP="009C3B7F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płyt do składowania obornika,</w:t>
      </w:r>
    </w:p>
    <w:p w:rsidR="006809FA" w:rsidRPr="006809FA" w:rsidRDefault="006809FA" w:rsidP="009C3B7F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lastRenderedPageBreak/>
        <w:t>s</w:t>
      </w:r>
      <w:r w:rsidRPr="006809FA">
        <w:rPr>
          <w:rFonts w:eastAsia="Times New Roman" w:cstheme="minorHAnsi"/>
          <w:color w:val="333333"/>
          <w:lang w:eastAsia="pl-PL"/>
        </w:rPr>
        <w:t>zczelnych zbiorników na gnojówkę lub gnojowicę,</w:t>
      </w:r>
    </w:p>
    <w:p w:rsidR="006809FA" w:rsidRPr="006809FA" w:rsidRDefault="006809FA" w:rsidP="009C3B7F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naziemnych silosów na materiały sypkie, o pojemności do 30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3</w:t>
      </w:r>
      <w:r w:rsidRPr="006809FA">
        <w:rPr>
          <w:rFonts w:eastAsia="Times New Roman" w:cstheme="minorHAnsi"/>
          <w:color w:val="333333"/>
          <w:lang w:eastAsia="pl-PL"/>
        </w:rPr>
        <w:t xml:space="preserve"> i wysokości nie większej niż 7 m,</w:t>
      </w:r>
    </w:p>
    <w:p w:rsidR="006809FA" w:rsidRPr="006809FA" w:rsidRDefault="006809FA" w:rsidP="009C3B7F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silosów na kiszonkę;</w:t>
      </w:r>
    </w:p>
    <w:p w:rsidR="006F764F" w:rsidRPr="006809FA" w:rsidRDefault="006F764F" w:rsidP="009C3B7F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stacji regazyfikacji LNG o pojemności zbiornika magazynowania gazu do 10 m</w:t>
      </w:r>
      <w:r w:rsidRPr="006809FA">
        <w:rPr>
          <w:rFonts w:eastAsia="Times New Roman" w:cstheme="minorHAnsi"/>
          <w:color w:val="333333"/>
          <w:vertAlign w:val="superscript"/>
          <w:lang w:eastAsia="pl-PL"/>
        </w:rPr>
        <w:t>3</w:t>
      </w:r>
      <w:r w:rsidRPr="006809FA">
        <w:rPr>
          <w:rFonts w:eastAsia="Times New Roman" w:cstheme="minorHAnsi"/>
          <w:color w:val="333333"/>
          <w:lang w:eastAsia="pl-PL"/>
        </w:rPr>
        <w:t>.</w:t>
      </w:r>
    </w:p>
    <w:p w:rsidR="006F764F" w:rsidRPr="006F764F" w:rsidRDefault="006F764F" w:rsidP="009C3B7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Cs/>
          <w:lang w:eastAsia="pl-PL"/>
        </w:rPr>
      </w:pPr>
      <w:r w:rsidRPr="006F764F">
        <w:rPr>
          <w:rFonts w:eastAsia="Times New Roman" w:cstheme="minorHAnsi"/>
          <w:b/>
          <w:bCs/>
          <w:iCs/>
          <w:lang w:eastAsia="pl-PL"/>
        </w:rPr>
        <w:t>Zgłoszeniu podlega ponadto:</w:t>
      </w:r>
    </w:p>
    <w:p w:rsidR="006F764F" w:rsidRPr="006809FA" w:rsidRDefault="006F764F" w:rsidP="009C3B7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b/>
          <w:color w:val="000000"/>
          <w:lang w:eastAsia="pl-PL"/>
        </w:rPr>
      </w:pPr>
      <w:r w:rsidRPr="006809FA">
        <w:rPr>
          <w:rFonts w:eastAsia="Times New Roman" w:cstheme="minorHAnsi"/>
          <w:b/>
          <w:color w:val="000000"/>
          <w:lang w:eastAsia="pl-PL"/>
        </w:rPr>
        <w:t>Wykonanie robót budowlanych polegających na:</w:t>
      </w:r>
    </w:p>
    <w:p w:rsidR="006F764F" w:rsidRDefault="006F764F" w:rsidP="009C3B7F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przebudowie:</w:t>
      </w:r>
    </w:p>
    <w:p w:rsidR="006809FA" w:rsidRPr="006809FA" w:rsidRDefault="006809FA" w:rsidP="009C3B7F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1418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przegród zewnętrznych oraz elementów konstrukcyjnych budynków mieszkalnych jednorodzinnych, o ile nie prowadzi ona do zwiększenia obszaru oddziaływania obiektu poza działkę, na której budynek jest usytuowany,</w:t>
      </w:r>
    </w:p>
    <w:p w:rsidR="006809FA" w:rsidRPr="006809FA" w:rsidRDefault="006809FA" w:rsidP="009C3B7F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1418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obiektów, o których mowa w ust. 1 pkt 2, 3, 9, 11-13 oraz 30,</w:t>
      </w:r>
    </w:p>
    <w:p w:rsidR="006809FA" w:rsidRPr="006809FA" w:rsidRDefault="006809FA" w:rsidP="009C3B7F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1418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sieci gazowych oraz sieci elektroenergetycznych innych niż wymienione w ust. 1 pkt 2 lit. a i e,</w:t>
      </w:r>
    </w:p>
    <w:p w:rsidR="006809FA" w:rsidRPr="006809FA" w:rsidRDefault="006809FA" w:rsidP="009C3B7F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1418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dróg, torów i urządzeń kolejowych,</w:t>
      </w:r>
    </w:p>
    <w:p w:rsidR="006809FA" w:rsidRPr="006809FA" w:rsidRDefault="006809FA" w:rsidP="009C3B7F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1418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polegającej na dociepleniu budynków o wysokości powyżej 12 m i nie wyższych niż 25 m,</w:t>
      </w:r>
    </w:p>
    <w:p w:rsidR="006809FA" w:rsidRPr="006809FA" w:rsidRDefault="006809FA" w:rsidP="009C3B7F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1418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 xml:space="preserve">instalacji odnawialnych źródeł energii o łącznej mocy zainstalowanej elektrycznej nie większej niż 1 MW wykorzystujących hydroenergię do wytwarzania energii elektrycznej w rozumieniu </w:t>
      </w:r>
      <w:hyperlink r:id="rId10" w:anchor="/document/18182244?cm=DOCUMENT" w:history="1">
        <w:r w:rsidRPr="006809FA">
          <w:rPr>
            <w:rFonts w:eastAsia="Times New Roman" w:cstheme="minorHAnsi"/>
            <w:color w:val="000000" w:themeColor="text1"/>
            <w:lang w:eastAsia="pl-PL"/>
          </w:rPr>
          <w:t>ustawy</w:t>
        </w:r>
      </w:hyperlink>
      <w:r w:rsidRPr="006809F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6809FA">
        <w:rPr>
          <w:rFonts w:eastAsia="Times New Roman" w:cstheme="minorHAnsi"/>
          <w:color w:val="333333"/>
          <w:lang w:eastAsia="pl-PL"/>
        </w:rPr>
        <w:t>z dnia 20 lutego 2015 r. o odnawialnych źródłach energii (Dz. U. z 2020 r. poz. 261 i 284);</w:t>
      </w:r>
    </w:p>
    <w:p w:rsidR="006F764F" w:rsidRPr="006809FA" w:rsidRDefault="006F764F" w:rsidP="009C3B7F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remoncie:</w:t>
      </w:r>
    </w:p>
    <w:p w:rsidR="006F764F" w:rsidRPr="006809FA" w:rsidRDefault="006F764F" w:rsidP="009C3B7F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left="1418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budowli, których budowa wymaga uzyskania decyzji o pozwoleniu na budowę,</w:t>
      </w:r>
    </w:p>
    <w:p w:rsidR="006F764F" w:rsidRPr="006809FA" w:rsidRDefault="006F764F" w:rsidP="009C3B7F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left="1418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budynków, których budowa wymaga uzyskania decyzji o pozwoleniu na budowę - w zakresie przegród zewnętrznych albo elementów konstrukcyjnych;</w:t>
      </w:r>
    </w:p>
    <w:p w:rsidR="006F764F" w:rsidRPr="006809FA" w:rsidRDefault="006F764F" w:rsidP="009C3B7F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instalowaniu:</w:t>
      </w:r>
    </w:p>
    <w:p w:rsidR="006F764F" w:rsidRPr="006809FA" w:rsidRDefault="006F764F" w:rsidP="009C3B7F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na obiektach budowlanych stanowiących albo niestanowiących całości techniczno-użytkowej urządzeń, w tym antenowych konstrukcji wsporczych i instalacji radiokomunikacyjnych, a także związanego z tymi urządzeniami osprzętu i urządzeń zasilających, o wysokości powyżej 3 m,</w:t>
      </w:r>
    </w:p>
    <w:p w:rsidR="006F764F" w:rsidRPr="006809FA" w:rsidRDefault="006F764F" w:rsidP="009C3B7F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krat na budynkach mieszkalnych wielorodzinnych, użyteczności publicznej i zamieszkania zbiorowego,</w:t>
      </w:r>
    </w:p>
    <w:p w:rsidR="006F764F" w:rsidRPr="006809FA" w:rsidRDefault="006F764F" w:rsidP="009C3B7F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tablic i urządzeń reklamowych, z wyjątkiem reklam świetlnych i podświetlanych usytuowanych poza obszarem zabudowanym w rozumieniu przepisów o ruchu drogowym,</w:t>
      </w:r>
    </w:p>
    <w:p w:rsidR="006F764F" w:rsidRPr="006809FA" w:rsidRDefault="006F764F" w:rsidP="009C3B7F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wewnątrz i na zewnątrz użytkowanego budynku instalacji gazowych,</w:t>
      </w:r>
    </w:p>
    <w:p w:rsidR="006F764F" w:rsidRPr="006809FA" w:rsidRDefault="006F764F" w:rsidP="009C3B7F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6809FA">
        <w:rPr>
          <w:rFonts w:eastAsia="Times New Roman" w:cstheme="minorHAnsi"/>
          <w:color w:val="333333"/>
          <w:lang w:eastAsia="pl-PL"/>
        </w:rPr>
        <w:t>mikroinstalacji biogazu rolniczego, o której mowa w art. 19 ust. 1 ustawy z dnia 20 lutego 2015 r. o odnawialnych źródłach energii.</w:t>
      </w:r>
    </w:p>
    <w:p w:rsidR="006F764F" w:rsidRPr="006F764F" w:rsidRDefault="006F764F" w:rsidP="009C3B7F">
      <w:pPr>
        <w:spacing w:after="0" w:line="276" w:lineRule="auto"/>
        <w:ind w:left="567" w:hanging="283"/>
        <w:rPr>
          <w:rFonts w:eastAsia="Times New Roman" w:cstheme="minorHAnsi"/>
          <w:lang w:eastAsia="pl-PL"/>
        </w:rPr>
      </w:pPr>
    </w:p>
    <w:p w:rsidR="006F764F" w:rsidRPr="006F764F" w:rsidRDefault="006F764F" w:rsidP="009C3B7F">
      <w:pPr>
        <w:tabs>
          <w:tab w:val="num" w:pos="360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F764F">
        <w:rPr>
          <w:rFonts w:eastAsia="Times New Roman" w:cstheme="minorHAnsi"/>
          <w:color w:val="000000"/>
          <w:lang w:eastAsia="pl-PL"/>
        </w:rPr>
        <w:t>W przypadku braku kompletu wymaganych dokumentów wnioskodawca zostanie wezwany do ich uzupełnienia.</w:t>
      </w:r>
    </w:p>
    <w:p w:rsidR="006F764F" w:rsidRDefault="006F764F" w:rsidP="009C3B7F">
      <w:pPr>
        <w:tabs>
          <w:tab w:val="num" w:pos="360"/>
        </w:tabs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C801E8" w:rsidRPr="006F764F" w:rsidRDefault="00C801E8" w:rsidP="009C3B7F">
      <w:pPr>
        <w:tabs>
          <w:tab w:val="num" w:pos="360"/>
        </w:tabs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6F764F" w:rsidRPr="006F764F" w:rsidRDefault="006F764F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lastRenderedPageBreak/>
        <w:t>Uwaga!</w:t>
      </w:r>
    </w:p>
    <w:p w:rsidR="006F764F" w:rsidRPr="006F764F" w:rsidRDefault="006F764F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6F764F" w:rsidRPr="006F764F" w:rsidRDefault="006F764F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color w:val="000000"/>
          <w:lang w:eastAsia="pl-PL"/>
        </w:rPr>
        <w:t>Przedsięwzięcia, które wymagają przeprowadzenia oceny oddziaływania na środowisko, oraz przedsięwzięcia wymagające przeprowadzenia oceny oddziaływania na obszar Natura 2000, zgodnie z </w:t>
      </w:r>
      <w:hyperlink r:id="rId11" w:anchor="LPA-LP_QL:[%7B%22lo_query_json%22:%22[%5C%22or%5C%22,[%5C%22eql%5C%22,%5C%22I_PUBLIKATOR%5C%22,%5C%22DzU20081991227%5C%22],[%5C%22and%5C%22,[%5C%22and%5C%22,[%5C%22eql%5C%22,%5C%22NR_PUBLIKATOR%5C%22,%5C%22DzU20081991227%5C%22],[%5C%22eql%5C%22,%5C%22NR_Z" w:history="1">
        <w:r w:rsidRPr="006F764F">
          <w:rPr>
            <w:rFonts w:eastAsia="Times New Roman" w:cstheme="minorHAnsi"/>
            <w:b/>
            <w:color w:val="000000"/>
            <w:lang w:eastAsia="pl-PL"/>
          </w:rPr>
          <w:t>art. 59</w:t>
        </w:r>
      </w:hyperlink>
      <w:r w:rsidRPr="006F764F">
        <w:rPr>
          <w:rFonts w:eastAsia="Times New Roman" w:cstheme="minorHAnsi"/>
          <w:b/>
          <w:color w:val="000000"/>
          <w:lang w:eastAsia="pl-PL"/>
        </w:rPr>
        <w:t xml:space="preserve"> ustawy z dnia 3 października 2008 r. o udostępnianiu informacji o środowisku i jego ochronie, udziale społeczeństwa w ochronie środowiska oraz o ocenach oddziaływania na środowisko wymagają uzyskania pozwolenia na budowę (art. 29 ust.3 ustawy z dnia 7 lipca 1994 r. Prawo budowlane).</w:t>
      </w:r>
    </w:p>
    <w:p w:rsidR="006F764F" w:rsidRPr="006F764F" w:rsidRDefault="006F764F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6F764F">
        <w:rPr>
          <w:rFonts w:eastAsia="Times New Roman" w:cstheme="minorHAnsi"/>
          <w:b/>
          <w:bCs/>
          <w:iCs/>
          <w:color w:val="000000"/>
          <w:lang w:eastAsia="pl-PL"/>
        </w:rPr>
        <w:t xml:space="preserve">Pozwolenia na budowę wymagają roboty budowlane wykonywane przy obiekcie budowlanym wpisanym do rejestru zabytków lub na obszarze wpisanym do rejestru zabytków. </w:t>
      </w:r>
      <w:r w:rsidRPr="006F764F">
        <w:rPr>
          <w:rFonts w:eastAsia="Times New Roman" w:cstheme="minorHAnsi"/>
          <w:b/>
          <w:color w:val="000000"/>
          <w:lang w:eastAsia="pl-PL"/>
        </w:rPr>
        <w:t>(art. 29 ust.4 ustawy z dnia 7 lipca 1994 r. Prawo budowlane).</w:t>
      </w:r>
    </w:p>
    <w:p w:rsidR="006F764F" w:rsidRDefault="006F764F" w:rsidP="009C3B7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EB6767" w:rsidRDefault="00EB6767" w:rsidP="009C3B7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Podstawa prawna:</w:t>
      </w:r>
    </w:p>
    <w:p w:rsidR="00EB6767" w:rsidRDefault="00EB6767" w:rsidP="009C3B7F">
      <w:pPr>
        <w:pStyle w:val="Akapitzlist"/>
        <w:numPr>
          <w:ilvl w:val="0"/>
          <w:numId w:val="45"/>
        </w:num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EB6767">
        <w:rPr>
          <w:rFonts w:eastAsia="Times New Roman" w:cstheme="minorHAnsi"/>
          <w:color w:val="000000"/>
          <w:lang w:eastAsia="pl-PL"/>
        </w:rPr>
        <w:t>art. 30  ustawy z dnia 7 lipca 1994r. Prawo budowlane</w:t>
      </w:r>
    </w:p>
    <w:p w:rsidR="00EB6767" w:rsidRDefault="00EB6767" w:rsidP="009C3B7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:rsidR="00EB6767" w:rsidRDefault="00EB6767" w:rsidP="009C3B7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Symbol procedury: IMA VI</w:t>
      </w:r>
    </w:p>
    <w:p w:rsidR="00EB6767" w:rsidRPr="00EB6767" w:rsidRDefault="00EB6767" w:rsidP="009C3B7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:rsidR="006F764F" w:rsidRPr="006F764F" w:rsidRDefault="006F764F" w:rsidP="009C3B7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</w:rPr>
      </w:pPr>
      <w:r w:rsidRPr="006F764F">
        <w:rPr>
          <w:rFonts w:eastAsia="Calibri" w:cstheme="minorHAnsi"/>
          <w:b/>
          <w:color w:val="000000"/>
        </w:rPr>
        <w:t>KLAUZULA INFORMACYJNA (dane obowiązkowe (imię, nazwisko, nazwa, adres), dane dodatkowe podawane nieobowiązkowo (telefon, e-mail)</w:t>
      </w:r>
    </w:p>
    <w:p w:rsidR="006F764F" w:rsidRPr="006F764F" w:rsidRDefault="006F764F" w:rsidP="009C3B7F">
      <w:pPr>
        <w:spacing w:line="276" w:lineRule="auto"/>
        <w:rPr>
          <w:rFonts w:eastAsia="Calibri" w:cstheme="minorHAnsi"/>
        </w:rPr>
      </w:pP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6F764F">
        <w:rPr>
          <w:rFonts w:eastAsia="Times New Roman" w:cstheme="minorHAnsi"/>
          <w:lang w:eastAsia="pl-PL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</w:t>
      </w:r>
      <w:r w:rsidR="006809FA">
        <w:rPr>
          <w:rFonts w:eastAsia="Times New Roman" w:cstheme="minorHAnsi"/>
          <w:lang w:eastAsia="pl-PL"/>
        </w:rPr>
        <w:t xml:space="preserve">enia dyrektywy 95/46/WE (RODO) </w:t>
      </w:r>
      <w:r w:rsidRPr="006F764F">
        <w:rPr>
          <w:rFonts w:eastAsia="Times New Roman" w:cstheme="minorHAnsi"/>
          <w:lang w:eastAsia="pl-PL"/>
        </w:rPr>
        <w:t>a w szczególności art. 13 RODO informujemy że: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6F764F">
        <w:rPr>
          <w:rFonts w:eastAsia="Times New Roman" w:cstheme="minorHAnsi"/>
          <w:lang w:eastAsia="pl-PL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color w:val="0563C1"/>
          <w:u w:val="single"/>
          <w:lang w:eastAsia="pl-PL"/>
        </w:rPr>
      </w:pPr>
      <w:r w:rsidRPr="006F764F">
        <w:rPr>
          <w:rFonts w:eastAsia="Times New Roman" w:cstheme="minorHAnsi"/>
          <w:lang w:eastAsia="pl-PL"/>
        </w:rPr>
        <w:t xml:space="preserve">Administrator wyznaczył Inspektora Ochrony Danych Osobowych w Urzędzie Miasta Piotrkowa Trybunalskiego Panią  Annę Pełkę z którą skontaktować się można  poprzez adres e-mail: </w:t>
      </w:r>
      <w:hyperlink r:id="rId12" w:history="1">
        <w:r w:rsidRPr="006F764F">
          <w:rPr>
            <w:rFonts w:eastAsia="Times New Roman" w:cstheme="minorHAnsi"/>
            <w:color w:val="0563C1"/>
            <w:u w:val="single"/>
            <w:lang w:eastAsia="pl-PL"/>
          </w:rPr>
          <w:t>a.pelka@piotrkow.pl</w:t>
        </w:r>
      </w:hyperlink>
    </w:p>
    <w:p w:rsidR="006F764F" w:rsidRPr="006F764F" w:rsidRDefault="006F764F" w:rsidP="009C3B7F">
      <w:pPr>
        <w:spacing w:line="276" w:lineRule="auto"/>
        <w:rPr>
          <w:rFonts w:eastAsia="Times New Roman" w:cstheme="minorHAnsi"/>
          <w:iCs/>
          <w:lang w:eastAsia="pl-PL"/>
        </w:rPr>
      </w:pPr>
      <w:r w:rsidRPr="006F764F">
        <w:rPr>
          <w:rFonts w:eastAsia="Calibri" w:cstheme="minorHAnsi"/>
        </w:rPr>
        <w:t>Państwa dane osobowe będziemy przetwarzać w celu realizacji praw i obowiązków wynikających z</w:t>
      </w:r>
      <w:r w:rsidRPr="006F764F">
        <w:rPr>
          <w:rFonts w:eastAsia="Calibri" w:cstheme="minorHAnsi"/>
          <w:i/>
          <w:iCs/>
        </w:rPr>
        <w:t xml:space="preserve"> </w:t>
      </w:r>
      <w:r w:rsidR="006809FA">
        <w:rPr>
          <w:rFonts w:eastAsia="Times New Roman" w:cstheme="minorHAnsi"/>
          <w:lang w:eastAsia="pl-PL"/>
        </w:rPr>
        <w:t xml:space="preserve">ustawy </w:t>
      </w:r>
      <w:r w:rsidRPr="006F764F">
        <w:rPr>
          <w:rFonts w:eastAsia="Times New Roman" w:cstheme="minorHAnsi"/>
          <w:lang w:eastAsia="pl-PL"/>
        </w:rPr>
        <w:t xml:space="preserve">z dnia 7 lipca 1994 r. Prawo budowlane </w:t>
      </w:r>
      <w:r w:rsidRPr="006F764F">
        <w:rPr>
          <w:rFonts w:eastAsia="Times New Roman" w:cstheme="minorHAnsi"/>
          <w:iCs/>
          <w:lang w:eastAsia="pl-PL"/>
        </w:rPr>
        <w:t>oraz na podstawie zgody osoby, której dane dotyczą (numer telefonu).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6F764F">
        <w:rPr>
          <w:rFonts w:eastAsia="Times New Roman" w:cstheme="minorHAnsi"/>
          <w:lang w:eastAsia="pl-PL"/>
        </w:rPr>
        <w:t>Państwa dane osobowe będą przechowywane przez okres niezbędny do realizacji w/w celu a po tym czasie przez okres oraz w zakresie wymaganym przez przepisy powszechnie obowiązującego prawa.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6F764F">
        <w:rPr>
          <w:rFonts w:eastAsia="Times New Roman" w:cstheme="minorHAnsi"/>
          <w:lang w:eastAsia="pl-PL"/>
        </w:rPr>
        <w:t xml:space="preserve">Przysługuje Państwu prawo dostępu do treści danych, ich sprostowania, ograniczenia przetwarzania, </w:t>
      </w:r>
      <w:r w:rsidRPr="006F764F">
        <w:rPr>
          <w:rFonts w:eastAsia="Times New Roman" w:cstheme="minorHAnsi"/>
          <w:lang w:eastAsia="pl-PL"/>
        </w:rPr>
        <w:br/>
        <w:t>a w przypadku danych które są przetwarzane  na podstawie zgody również prawo sprzeciwu,</w:t>
      </w:r>
      <w:r w:rsidR="006809FA">
        <w:rPr>
          <w:rFonts w:eastAsia="Times New Roman" w:cstheme="minorHAnsi"/>
          <w:lang w:eastAsia="pl-PL"/>
        </w:rPr>
        <w:t xml:space="preserve"> </w:t>
      </w:r>
      <w:r w:rsidRPr="006F764F">
        <w:rPr>
          <w:rFonts w:eastAsia="Times New Roman" w:cstheme="minorHAnsi"/>
          <w:lang w:eastAsia="pl-PL"/>
        </w:rPr>
        <w:t xml:space="preserve">zażądania zaprzestania przetwarzania i przenoszenia danych oraz prawo cofnięcia zgody w dowolnym </w:t>
      </w:r>
      <w:r w:rsidRPr="006F764F">
        <w:rPr>
          <w:rFonts w:eastAsia="Times New Roman" w:cstheme="minorHAnsi"/>
          <w:lang w:eastAsia="pl-PL"/>
        </w:rPr>
        <w:lastRenderedPageBreak/>
        <w:t xml:space="preserve">momencie, </w:t>
      </w:r>
      <w:r w:rsidRPr="006F764F">
        <w:rPr>
          <w:rFonts w:eastAsia="Times New Roman" w:cstheme="minorHAnsi"/>
          <w:iCs/>
          <w:lang w:eastAsia="pl-PL"/>
        </w:rPr>
        <w:t>bez wpływu na zgodność z prawem przetwarzania, którego dokonano na podstawie zgody przed jej cofnięciem</w:t>
      </w:r>
      <w:r w:rsidRPr="006F764F">
        <w:rPr>
          <w:rFonts w:eastAsia="Times New Roman" w:cstheme="minorHAnsi"/>
          <w:lang w:eastAsia="pl-PL"/>
        </w:rPr>
        <w:t>.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6F764F">
        <w:rPr>
          <w:rFonts w:eastAsia="Times New Roman" w:cstheme="minorHAnsi"/>
          <w:lang w:eastAsia="pl-PL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6F764F">
        <w:rPr>
          <w:rFonts w:eastAsia="Times New Roman" w:cstheme="minorHAnsi"/>
          <w:lang w:eastAsia="pl-PL"/>
        </w:rPr>
        <w:t>Dane udostępnione przez Państwa nie będą podlegały udostępnieniu podmiotom trzecim. Odbiorcami danych będą tylko instytucje upoważnione z mocy prawa.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6F764F">
        <w:rPr>
          <w:rFonts w:eastAsia="Times New Roman" w:cstheme="minorHAnsi"/>
          <w:lang w:eastAsia="pl-PL"/>
        </w:rPr>
        <w:t>Dane udostępnione przez Państwa nie będą podlegały profilowaniu.</w:t>
      </w:r>
    </w:p>
    <w:p w:rsidR="006F764F" w:rsidRPr="006F764F" w:rsidRDefault="006F764F" w:rsidP="009C3B7F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6F764F">
        <w:rPr>
          <w:rFonts w:eastAsia="Times New Roman" w:cstheme="minorHAnsi"/>
          <w:lang w:eastAsia="pl-PL"/>
        </w:rPr>
        <w:t>Administrator danych nie ma zamiaru przekazywać danych osobowych do państwa trzeciego lub organizacji międzynarodowej.</w:t>
      </w:r>
    </w:p>
    <w:p w:rsidR="00D620B6" w:rsidRPr="006F764F" w:rsidRDefault="00D620B6" w:rsidP="006F764F">
      <w:pPr>
        <w:spacing w:line="276" w:lineRule="auto"/>
        <w:rPr>
          <w:rFonts w:cstheme="minorHAnsi"/>
        </w:rPr>
      </w:pPr>
    </w:p>
    <w:sectPr w:rsidR="00D620B6" w:rsidRPr="006F764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7A" w:rsidRDefault="00F82A7A" w:rsidP="00F82A7A">
      <w:pPr>
        <w:spacing w:after="0" w:line="240" w:lineRule="auto"/>
      </w:pPr>
      <w:r>
        <w:separator/>
      </w:r>
    </w:p>
  </w:endnote>
  <w:endnote w:type="continuationSeparator" w:id="0">
    <w:p w:rsidR="00F82A7A" w:rsidRDefault="00F82A7A" w:rsidP="00F8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340806"/>
      <w:docPartObj>
        <w:docPartGallery w:val="Page Numbers (Bottom of Page)"/>
        <w:docPartUnique/>
      </w:docPartObj>
    </w:sdtPr>
    <w:sdtContent>
      <w:p w:rsidR="00F82A7A" w:rsidRDefault="00F82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82A7A" w:rsidRDefault="00F82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7A" w:rsidRDefault="00F82A7A" w:rsidP="00F82A7A">
      <w:pPr>
        <w:spacing w:after="0" w:line="240" w:lineRule="auto"/>
      </w:pPr>
      <w:r>
        <w:separator/>
      </w:r>
    </w:p>
  </w:footnote>
  <w:footnote w:type="continuationSeparator" w:id="0">
    <w:p w:rsidR="00F82A7A" w:rsidRDefault="00F82A7A" w:rsidP="00F8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D91"/>
    <w:multiLevelType w:val="hybridMultilevel"/>
    <w:tmpl w:val="8CE4A048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4EA2355"/>
    <w:multiLevelType w:val="hybridMultilevel"/>
    <w:tmpl w:val="678CDA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245E08"/>
    <w:multiLevelType w:val="hybridMultilevel"/>
    <w:tmpl w:val="2D8E2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BA3"/>
    <w:multiLevelType w:val="hybridMultilevel"/>
    <w:tmpl w:val="8FDEDD22"/>
    <w:lvl w:ilvl="0" w:tplc="BD38B5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5403F7"/>
    <w:multiLevelType w:val="hybridMultilevel"/>
    <w:tmpl w:val="7AD829B8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19CA7E9C"/>
    <w:multiLevelType w:val="hybridMultilevel"/>
    <w:tmpl w:val="1960CAE6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AF73D7A"/>
    <w:multiLevelType w:val="hybridMultilevel"/>
    <w:tmpl w:val="64C41498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1C17663C"/>
    <w:multiLevelType w:val="hybridMultilevel"/>
    <w:tmpl w:val="D47ACA0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CA7AE5"/>
    <w:multiLevelType w:val="hybridMultilevel"/>
    <w:tmpl w:val="E62265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F7132"/>
    <w:multiLevelType w:val="hybridMultilevel"/>
    <w:tmpl w:val="B5A866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B24D8F"/>
    <w:multiLevelType w:val="hybridMultilevel"/>
    <w:tmpl w:val="66C0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05066"/>
    <w:multiLevelType w:val="multilevel"/>
    <w:tmpl w:val="5CB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A2BA3"/>
    <w:multiLevelType w:val="hybridMultilevel"/>
    <w:tmpl w:val="AED0D8CE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 w15:restartNumberingAfterBreak="0">
    <w:nsid w:val="264C6887"/>
    <w:multiLevelType w:val="hybridMultilevel"/>
    <w:tmpl w:val="90CA3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5677"/>
    <w:multiLevelType w:val="hybridMultilevel"/>
    <w:tmpl w:val="BBBE032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2F5474A7"/>
    <w:multiLevelType w:val="hybridMultilevel"/>
    <w:tmpl w:val="FAC64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612B5"/>
    <w:multiLevelType w:val="hybridMultilevel"/>
    <w:tmpl w:val="D5CCB120"/>
    <w:lvl w:ilvl="0" w:tplc="BAB0784E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1D6EAF"/>
    <w:multiLevelType w:val="hybridMultilevel"/>
    <w:tmpl w:val="C854EFF8"/>
    <w:lvl w:ilvl="0" w:tplc="0A26B2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C6C042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87B15AC"/>
    <w:multiLevelType w:val="hybridMultilevel"/>
    <w:tmpl w:val="41604CCC"/>
    <w:lvl w:ilvl="0" w:tplc="0415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3A260137"/>
    <w:multiLevelType w:val="hybridMultilevel"/>
    <w:tmpl w:val="6A245FD0"/>
    <w:lvl w:ilvl="0" w:tplc="43A22BB0">
      <w:start w:val="1"/>
      <w:numFmt w:val="lowerLetter"/>
      <w:lvlText w:val="%1)"/>
      <w:lvlJc w:val="left"/>
      <w:pPr>
        <w:ind w:left="133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455C0C67"/>
    <w:multiLevelType w:val="hybridMultilevel"/>
    <w:tmpl w:val="E5C2DA7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4E7B05A5"/>
    <w:multiLevelType w:val="hybridMultilevel"/>
    <w:tmpl w:val="8F5A0A82"/>
    <w:lvl w:ilvl="0" w:tplc="0415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4E90339F"/>
    <w:multiLevelType w:val="hybridMultilevel"/>
    <w:tmpl w:val="881E599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2579"/>
    <w:multiLevelType w:val="hybridMultilevel"/>
    <w:tmpl w:val="185CCE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1047"/>
    <w:multiLevelType w:val="hybridMultilevel"/>
    <w:tmpl w:val="6AB053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D692E"/>
    <w:multiLevelType w:val="hybridMultilevel"/>
    <w:tmpl w:val="B74C8B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5C51F1"/>
    <w:multiLevelType w:val="hybridMultilevel"/>
    <w:tmpl w:val="88F0C9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840B34"/>
    <w:multiLevelType w:val="hybridMultilevel"/>
    <w:tmpl w:val="E8AE16B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1A7384"/>
    <w:multiLevelType w:val="hybridMultilevel"/>
    <w:tmpl w:val="A0F43B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076A21"/>
    <w:multiLevelType w:val="hybridMultilevel"/>
    <w:tmpl w:val="9D009E86"/>
    <w:lvl w:ilvl="0" w:tplc="EC2024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11006"/>
    <w:multiLevelType w:val="hybridMultilevel"/>
    <w:tmpl w:val="EF6A50A4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2A34215"/>
    <w:multiLevelType w:val="hybridMultilevel"/>
    <w:tmpl w:val="E990BD6C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2" w15:restartNumberingAfterBreak="0">
    <w:nsid w:val="635923CB"/>
    <w:multiLevelType w:val="hybridMultilevel"/>
    <w:tmpl w:val="AD703DB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39A650E"/>
    <w:multiLevelType w:val="hybridMultilevel"/>
    <w:tmpl w:val="60D43C8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 w15:restartNumberingAfterBreak="0">
    <w:nsid w:val="64C80D77"/>
    <w:multiLevelType w:val="hybridMultilevel"/>
    <w:tmpl w:val="BBBEF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F7CE0"/>
    <w:multiLevelType w:val="hybridMultilevel"/>
    <w:tmpl w:val="C6787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2093E"/>
    <w:multiLevelType w:val="hybridMultilevel"/>
    <w:tmpl w:val="7222E4B6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6AB6C2D"/>
    <w:multiLevelType w:val="hybridMultilevel"/>
    <w:tmpl w:val="65DAEF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C361BD"/>
    <w:multiLevelType w:val="hybridMultilevel"/>
    <w:tmpl w:val="A6861064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9" w15:restartNumberingAfterBreak="0">
    <w:nsid w:val="6AD65126"/>
    <w:multiLevelType w:val="hybridMultilevel"/>
    <w:tmpl w:val="DD9401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B30740"/>
    <w:multiLevelType w:val="hybridMultilevel"/>
    <w:tmpl w:val="BAA6ED74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6E295D2D"/>
    <w:multiLevelType w:val="hybridMultilevel"/>
    <w:tmpl w:val="378C69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EE6A5F"/>
    <w:multiLevelType w:val="hybridMultilevel"/>
    <w:tmpl w:val="1D7EC150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3" w15:restartNumberingAfterBreak="0">
    <w:nsid w:val="75631F10"/>
    <w:multiLevelType w:val="hybridMultilevel"/>
    <w:tmpl w:val="E3C22850"/>
    <w:lvl w:ilvl="0" w:tplc="1886527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241D23"/>
    <w:multiLevelType w:val="hybridMultilevel"/>
    <w:tmpl w:val="E3E2F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34"/>
  </w:num>
  <w:num w:numId="5">
    <w:abstractNumId w:val="42"/>
  </w:num>
  <w:num w:numId="6">
    <w:abstractNumId w:val="41"/>
  </w:num>
  <w:num w:numId="7">
    <w:abstractNumId w:val="24"/>
  </w:num>
  <w:num w:numId="8">
    <w:abstractNumId w:val="9"/>
  </w:num>
  <w:num w:numId="9">
    <w:abstractNumId w:val="19"/>
  </w:num>
  <w:num w:numId="10">
    <w:abstractNumId w:val="30"/>
  </w:num>
  <w:num w:numId="11">
    <w:abstractNumId w:val="21"/>
  </w:num>
  <w:num w:numId="12">
    <w:abstractNumId w:val="27"/>
  </w:num>
  <w:num w:numId="13">
    <w:abstractNumId w:val="8"/>
  </w:num>
  <w:num w:numId="14">
    <w:abstractNumId w:val="26"/>
  </w:num>
  <w:num w:numId="15">
    <w:abstractNumId w:val="43"/>
  </w:num>
  <w:num w:numId="16">
    <w:abstractNumId w:val="29"/>
  </w:num>
  <w:num w:numId="17">
    <w:abstractNumId w:val="16"/>
  </w:num>
  <w:num w:numId="18">
    <w:abstractNumId w:val="37"/>
  </w:num>
  <w:num w:numId="19">
    <w:abstractNumId w:val="25"/>
  </w:num>
  <w:num w:numId="20">
    <w:abstractNumId w:val="33"/>
  </w:num>
  <w:num w:numId="21">
    <w:abstractNumId w:val="0"/>
  </w:num>
  <w:num w:numId="22">
    <w:abstractNumId w:val="22"/>
  </w:num>
  <w:num w:numId="23">
    <w:abstractNumId w:val="36"/>
  </w:num>
  <w:num w:numId="24">
    <w:abstractNumId w:val="1"/>
  </w:num>
  <w:num w:numId="25">
    <w:abstractNumId w:val="3"/>
  </w:num>
  <w:num w:numId="26">
    <w:abstractNumId w:val="7"/>
  </w:num>
  <w:num w:numId="27">
    <w:abstractNumId w:val="40"/>
  </w:num>
  <w:num w:numId="28">
    <w:abstractNumId w:val="10"/>
  </w:num>
  <w:num w:numId="29">
    <w:abstractNumId w:val="44"/>
  </w:num>
  <w:num w:numId="30">
    <w:abstractNumId w:val="14"/>
  </w:num>
  <w:num w:numId="31">
    <w:abstractNumId w:val="32"/>
  </w:num>
  <w:num w:numId="32">
    <w:abstractNumId w:val="15"/>
  </w:num>
  <w:num w:numId="33">
    <w:abstractNumId w:val="12"/>
  </w:num>
  <w:num w:numId="34">
    <w:abstractNumId w:val="31"/>
  </w:num>
  <w:num w:numId="35">
    <w:abstractNumId w:val="38"/>
  </w:num>
  <w:num w:numId="36">
    <w:abstractNumId w:val="13"/>
  </w:num>
  <w:num w:numId="37">
    <w:abstractNumId w:val="6"/>
  </w:num>
  <w:num w:numId="38">
    <w:abstractNumId w:val="18"/>
  </w:num>
  <w:num w:numId="39">
    <w:abstractNumId w:val="4"/>
  </w:num>
  <w:num w:numId="40">
    <w:abstractNumId w:val="20"/>
  </w:num>
  <w:num w:numId="41">
    <w:abstractNumId w:val="39"/>
  </w:num>
  <w:num w:numId="42">
    <w:abstractNumId w:val="5"/>
  </w:num>
  <w:num w:numId="43">
    <w:abstractNumId w:val="35"/>
  </w:num>
  <w:num w:numId="44">
    <w:abstractNumId w:val="2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35"/>
    <w:rsid w:val="0013594E"/>
    <w:rsid w:val="00397D38"/>
    <w:rsid w:val="006809FA"/>
    <w:rsid w:val="006F764F"/>
    <w:rsid w:val="008F2735"/>
    <w:rsid w:val="009C3B7F"/>
    <w:rsid w:val="00A60C0A"/>
    <w:rsid w:val="00C801E8"/>
    <w:rsid w:val="00D620B6"/>
    <w:rsid w:val="00EB6767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F88E-94FA-4E03-9132-EAB7411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0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6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0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359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A7A"/>
  </w:style>
  <w:style w:type="paragraph" w:styleId="Stopka">
    <w:name w:val="footer"/>
    <w:basedOn w:val="Normalny"/>
    <w:link w:val="StopkaZnak"/>
    <w:uiPriority w:val="99"/>
    <w:unhideWhenUsed/>
    <w:rsid w:val="00F8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mailto:a.pelka@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ponline.lexpolonica.pl/plweb-cgi/l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2921</Words>
  <Characters>17527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Mycka Łukasz</cp:lastModifiedBy>
  <cp:revision>9</cp:revision>
  <dcterms:created xsi:type="dcterms:W3CDTF">2020-10-01T08:34:00Z</dcterms:created>
  <dcterms:modified xsi:type="dcterms:W3CDTF">2020-10-02T07:53:00Z</dcterms:modified>
</cp:coreProperties>
</file>